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00" w:before="100"/>
        <w:jc w:val="center"/>
      </w:pPr>
      <w:r>
        <w:drawing>
          <wp:inline distT="0" distB="0" distL="0" distR="0">
            <wp:extent cx="619125" cy="57150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9" cstate="none"/>
                    <a:srcRect/>
                    <a:stretch>
                      <a:fillRect/>
                    </a:stretch>
                  </pic:blipFill>
                  <pic:spPr bwMode="auto">
                    <a:xfrm>
                      <a:off x="0" y="0"/>
                      <a:ext cx="619125" cy="571500"/>
                    </a:xfrm>
                    <a:prstGeom prst="rect">
                      <a:avLst/>
                    </a:prstGeom>
                  </pic:spPr>
                </pic:pic>
              </a:graphicData>
            </a:graphic>
          </wp:inline>
        </w:drawing>
      </w:r>
    </w:p>
    <w:p>
      <w:pPr>
        <w:spacing w:after="40" w:before="0"/>
        <w:jc w:val="center"/>
      </w:pPr>
      <w:r>
        <w:rPr>
          <w:b/>
          <w:bCs/>
          <w:color w:val="C9A227"/>
          <w:spacing w:val="8"/>
          <w:sz w:val="13"/>
          <w:szCs w:val="13"/>
        </w:rPr>
        <w:t xml:space="preserve">ACCRÉDITATION SANS FRONTIÈRES · ISO 9001 READY</w:t>
      </w:r>
    </w:p>
    <w:p>
      <w:pPr>
        <w:spacing w:after="20" w:before="0"/>
        <w:jc w:val="center"/>
      </w:pPr>
      <w:r>
        <w:rPr>
          <w:b/>
          <w:bCs/>
          <w:color w:val="0E2647"/>
          <w:sz w:val="24"/>
          <w:szCs w:val="24"/>
        </w:rPr>
        <w:t xml:space="preserve">რეაგენტებისა და ხარჯვადი მასალების მართვა</w:t>
      </w:r>
    </w:p>
    <w:p>
      <w:pPr>
        <w:spacing w:after="180" w:before="0"/>
        <w:jc w:val="center"/>
      </w:pPr>
      <w:r>
        <w:rPr>
          <w:i/>
          <w:iCs/>
          <w:color w:val="6B778C"/>
          <w:sz w:val="18"/>
          <w:szCs w:val="18"/>
        </w:rPr>
        <w:t xml:space="preserve">სტანდარტული ოპერაციული პროცედურა</w:t>
      </w:r>
    </w:p>
    <w:tbl>
      <w:tblPr>
        <w:tblW w:type="dxa" w:w="8900"/>
        <w:tblBorders>
          <w:top w:val="single" w:color="C9A227" w:sz="4"/>
          <w:left w:val="single" w:color="C9A227" w:sz="4"/>
          <w:bottom w:val="single" w:color="C9A227" w:sz="4"/>
          <w:right w:val="single" w:color="C9A227" w:sz="4"/>
          <w:insideH w:val="single" w:color="auto" w:sz="4"/>
          <w:insideV w:val="single" w:color="auto" w:sz="4"/>
        </w:tblBorders>
      </w:tblPr>
      <w:tblGrid>
        <w:gridCol w:w="8900"/>
      </w:tblGrid>
      <w:tr>
        <w:tc>
          <w:tcPr>
            <w:shd w:fill="FFF8E7" w:val="clear"/>
            <w:tcMar>
              <w:top w:type="dxa" w:w="150"/>
              <w:left w:type="dxa" w:w="200"/>
              <w:bottom w:type="dxa" w:w="150"/>
              <w:right w:type="dxa" w:w="200"/>
            </w:tcMar>
          </w:tcPr>
          <w:p>
            <w:pPr>
              <w:spacing w:after="60"/>
            </w:pPr>
            <w:r>
              <w:rPr>
                <w:b/>
                <w:bCs/>
                <w:color w:val="5C4A0A"/>
                <w:sz w:val="18"/>
                <w:szCs w:val="18"/>
              </w:rPr>
              <w:t xml:space="preserve">ვამტკიცებ</w:t>
            </w:r>
          </w:p>
          <w:p>
            <w:pPr>
              <w:spacing w:after="20"/>
            </w:pPr>
            <w:r>
              <w:rPr>
                <w:sz w:val="16"/>
                <w:szCs w:val="16"/>
              </w:rPr>
              <w:t xml:space="preserve">[ORGANIZATION NAME]-ს დირექტორი</w:t>
            </w:r>
          </w:p>
          <w:p>
            <w:pPr>
              <w:spacing w:after="20"/>
            </w:pPr>
            <w:r>
              <w:rPr>
                <w:sz w:val="16"/>
                <w:szCs w:val="16"/>
              </w:rPr>
              <w:t xml:space="preserve">[DIRECTOR NAME] ______________________</w:t>
            </w:r>
          </w:p>
          <w:p>
            <w:r>
              <w:rPr>
                <w:sz w:val="16"/>
                <w:szCs w:val="16"/>
              </w:rPr>
              <w:t xml:space="preserve">თარიღი: __________</w:t>
            </w:r>
          </w:p>
        </w:tc>
      </w:tr>
    </w:tbl>
    <w:p>
      <w:pPr>
        <w:spacing w:before="180"/>
      </w:pPr>
    </w:p>
    <w:tbl>
      <w:tblPr>
        <w:tblW w:type="dxa" w:w="8900"/>
        <w:tblBorders>
          <w:top w:val="single" w:color="D8DEE8" w:sz="4"/>
          <w:left w:val="single" w:color="D8DEE8" w:sz="4"/>
          <w:bottom w:val="single" w:color="D8DEE8" w:sz="4"/>
          <w:right w:val="single" w:color="D8DEE8" w:sz="4"/>
          <w:insideH w:val="single" w:color="D8DEE8" w:sz="4"/>
          <w:insideV w:val="single" w:color="D8DEE8" w:sz="4"/>
        </w:tblBorders>
      </w:tblPr>
      <w:tblGrid>
        <w:gridCol w:w="2800"/>
        <w:gridCol w:w="6100"/>
      </w:tblGrid>
      <w:tr>
        <w:tc>
          <w:tcPr>
            <w:tcW w:type="dxa" w:w="2800"/>
            <w:shd w:fill="F2F4F7" w:val="clear"/>
            <w:tcMar>
              <w:top w:type="dxa" w:w="80"/>
              <w:left w:type="dxa" w:w="130"/>
              <w:bottom w:type="dxa" w:w="80"/>
              <w:right w:type="dxa" w:w="90"/>
            </w:tcMar>
            <w:vAlign w:val="center"/>
          </w:tcPr>
          <w:p>
            <w:r>
              <w:rPr>
                <w:b/>
                <w:bCs/>
                <w:color w:val="0E2647"/>
                <w:sz w:val="16"/>
                <w:szCs w:val="16"/>
              </w:rPr>
              <w:t xml:space="preserve">დოკუმენტის კოდი</w:t>
            </w:r>
          </w:p>
        </w:tc>
        <w:tc>
          <w:tcPr>
            <w:tcW w:type="dxa" w:w="6100"/>
            <w:tcMar>
              <w:top w:type="dxa" w:w="80"/>
              <w:left w:type="dxa" w:w="130"/>
              <w:bottom w:type="dxa" w:w="80"/>
              <w:right w:type="dxa" w:w="90"/>
            </w:tcMar>
            <w:vAlign w:val="center"/>
          </w:tcPr>
          <w:p>
            <w:r>
              <w:rPr>
                <w:color w:val="1A1A1A"/>
                <w:sz w:val="16"/>
                <w:szCs w:val="16"/>
              </w:rPr>
              <w:t xml:space="preserve">SOP-LAB-08-KA</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დასახელება</w:t>
            </w:r>
          </w:p>
        </w:tc>
        <w:tc>
          <w:tcPr>
            <w:tcW w:type="dxa" w:w="6100"/>
            <w:tcMar>
              <w:top w:type="dxa" w:w="80"/>
              <w:left w:type="dxa" w:w="130"/>
              <w:bottom w:type="dxa" w:w="80"/>
              <w:right w:type="dxa" w:w="90"/>
            </w:tcMar>
            <w:vAlign w:val="center"/>
          </w:tcPr>
          <w:p>
            <w:r>
              <w:rPr>
                <w:color w:val="1A1A1A"/>
                <w:sz w:val="16"/>
                <w:szCs w:val="16"/>
              </w:rPr>
              <w:t xml:space="preserve">რეაგენტებისა და ხარჯვადი მასალების მართვა</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გამოცემა</w:t>
            </w:r>
          </w:p>
        </w:tc>
        <w:tc>
          <w:tcPr>
            <w:tcW w:type="dxa" w:w="6100"/>
            <w:tcMar>
              <w:top w:type="dxa" w:w="80"/>
              <w:left w:type="dxa" w:w="130"/>
              <w:bottom w:type="dxa" w:w="80"/>
              <w:right w:type="dxa" w:w="90"/>
            </w:tcMar>
            <w:vAlign w:val="center"/>
          </w:tcPr>
          <w:p>
            <w:r>
              <w:rPr>
                <w:color w:val="1A1A1A"/>
                <w:sz w:val="16"/>
                <w:szCs w:val="16"/>
              </w:rPr>
              <w:t xml:space="preserve">1-ლი გამოცემა</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ეგზ. #</w:t>
            </w:r>
          </w:p>
        </w:tc>
        <w:tc>
          <w:tcPr>
            <w:tcW w:type="dxa" w:w="6100"/>
            <w:tcMar>
              <w:top w:type="dxa" w:w="80"/>
              <w:left w:type="dxa" w:w="130"/>
              <w:bottom w:type="dxa" w:w="80"/>
              <w:right w:type="dxa" w:w="90"/>
            </w:tcMar>
            <w:vAlign w:val="center"/>
          </w:tcPr>
          <w:p>
            <w:r>
              <w:rPr>
                <w:color w:val="1A1A1A"/>
                <w:sz w:val="16"/>
                <w:szCs w:val="16"/>
              </w:rPr>
              <w:t xml:space="preserve">___</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ძალაში შესვლის თარიღი</w:t>
            </w:r>
          </w:p>
        </w:tc>
        <w:tc>
          <w:tcPr>
            <w:tcW w:type="dxa" w:w="6100"/>
            <w:tcMar>
              <w:top w:type="dxa" w:w="80"/>
              <w:left w:type="dxa" w:w="130"/>
              <w:bottom w:type="dxa" w:w="80"/>
              <w:right w:type="dxa" w:w="90"/>
            </w:tcMar>
            <w:vAlign w:val="center"/>
          </w:tcPr>
          <w:p>
            <w:r>
              <w:rPr>
                <w:color w:val="1A1A1A"/>
                <w:sz w:val="16"/>
                <w:szCs w:val="16"/>
              </w:rPr>
              <w:t xml:space="preserve">[EFFECTIVE DATE]</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შემდეგი გადახედვის თარიღი</w:t>
            </w:r>
          </w:p>
        </w:tc>
        <w:tc>
          <w:tcPr>
            <w:tcW w:type="dxa" w:w="6100"/>
            <w:tcMar>
              <w:top w:type="dxa" w:w="80"/>
              <w:left w:type="dxa" w:w="130"/>
              <w:bottom w:type="dxa" w:w="80"/>
              <w:right w:type="dxa" w:w="90"/>
            </w:tcMar>
            <w:vAlign w:val="center"/>
          </w:tcPr>
          <w:p>
            <w:r>
              <w:rPr>
                <w:color w:val="1A1A1A"/>
                <w:sz w:val="16"/>
                <w:szCs w:val="16"/>
              </w:rPr>
              <w:t xml:space="preserve">[NEXT REVIEW DATE]</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ორგანიზაცია</w:t>
            </w:r>
          </w:p>
        </w:tc>
        <w:tc>
          <w:tcPr>
            <w:tcW w:type="dxa" w:w="6100"/>
            <w:tcMar>
              <w:top w:type="dxa" w:w="80"/>
              <w:left w:type="dxa" w:w="130"/>
              <w:bottom w:type="dxa" w:w="80"/>
              <w:right w:type="dxa" w:w="90"/>
            </w:tcMar>
            <w:vAlign w:val="center"/>
          </w:tcPr>
          <w:p>
            <w:r>
              <w:rPr>
                <w:color w:val="1A1A1A"/>
                <w:sz w:val="16"/>
                <w:szCs w:val="16"/>
              </w:rPr>
              <w:t xml:space="preserve">[ORGANIZATION NAME], საქართველო</w:t>
            </w:r>
          </w:p>
        </w:tc>
      </w:tr>
    </w:tbl>
    <w:p>
      <w:pPr>
        <w:pBdr>
          <w:bottom w:val="single" w:color="D8DEE8" w:sz="6"/>
        </w:pBdr>
        <w:spacing w:after="180" w:before="60"/>
      </w:pPr>
    </w:p>
    <w:p>
      <w:pPr>
        <w:pStyle w:val="Heading1"/>
        <w:spacing w:after="120" w:before="240"/>
      </w:pPr>
      <w:r>
        <w:rPr>
          <w:b/>
          <w:bCs/>
          <w:color w:val="0E2647"/>
          <w:sz w:val="24"/>
          <w:szCs w:val="24"/>
        </w:rPr>
        <w:t xml:space="preserve">სარჩევი</w:t>
      </w:r>
    </w:p>
    <w:p>
      <w:pPr>
        <w:spacing w:after="110" w:line="260"/>
      </w:pPr>
      <w:r>
        <w:rPr>
          <w:b w:val="false"/>
          <w:bCs w:val="false"/>
          <w:i w:val="false"/>
          <w:iCs w:val="false"/>
          <w:sz w:val="20"/>
          <w:szCs w:val="20"/>
        </w:rPr>
        <w:t xml:space="preserve">1. მიზანი · 2. მოქმედების სფერო · 3. განმარტებები და შემოკლებები</w:t>
      </w:r>
    </w:p>
    <w:p>
      <w:pPr>
        <w:spacing w:after="110" w:line="260"/>
      </w:pPr>
      <w:r>
        <w:rPr>
          <w:b w:val="false"/>
          <w:bCs w:val="false"/>
          <w:i w:val="false"/>
          <w:iCs w:val="false"/>
          <w:sz w:val="20"/>
          <w:szCs w:val="20"/>
        </w:rPr>
        <w:t xml:space="preserve">4. ზოგადი დებულებები · 5. პასუხისმგებლობების განაწილება</w:t>
      </w:r>
    </w:p>
    <w:p>
      <w:pPr>
        <w:spacing w:after="110" w:line="260"/>
      </w:pPr>
      <w:r>
        <w:rPr>
          <w:b w:val="false"/>
          <w:bCs w:val="false"/>
          <w:i w:val="false"/>
          <w:iCs w:val="false"/>
          <w:sz w:val="20"/>
          <w:szCs w:val="20"/>
        </w:rPr>
        <w:t xml:space="preserve">6. მიღება და ეტიკეტირება · 7. ვადის ამოწურვის მართვა</w:t>
      </w:r>
    </w:p>
    <w:p>
      <w:pPr>
        <w:spacing w:after="110" w:line="260"/>
      </w:pPr>
      <w:r>
        <w:rPr>
          <w:b w:val="false"/>
          <w:bCs w:val="false"/>
          <w:i w:val="false"/>
          <w:iCs w:val="false"/>
          <w:sz w:val="20"/>
          <w:szCs w:val="20"/>
        </w:rPr>
        <w:t xml:space="preserve">8. მოლეკულური რეაგენტის განსაკუთრებული დამუშავება · 9. განსაკუთრებული პირობები</w:t>
      </w:r>
    </w:p>
    <w:p>
      <w:pPr>
        <w:spacing w:after="110" w:line="260"/>
      </w:pPr>
      <w:r>
        <w:rPr>
          <w:b w:val="false"/>
          <w:bCs w:val="false"/>
          <w:i w:val="false"/>
          <w:iCs w:val="false"/>
          <w:sz w:val="20"/>
          <w:szCs w:val="20"/>
        </w:rPr>
        <w:t xml:space="preserve">10. პროცესის ეფექტურობის მაჩვენებლები (KPI) · 11. თანმხლები დოკუმენტაცია</w:t>
      </w:r>
    </w:p>
    <w:p>
      <w:pPr>
        <w:spacing w:after="110" w:line="260"/>
      </w:pPr>
      <w:r>
        <w:rPr>
          <w:b w:val="false"/>
          <w:bCs w:val="false"/>
          <w:i w:val="false"/>
          <w:iCs w:val="false"/>
          <w:sz w:val="20"/>
          <w:szCs w:val="20"/>
        </w:rPr>
        <w:t xml:space="preserve">12. შეთანხმების ფურცელი · წყაროები</w:t>
      </w:r>
    </w:p>
    <w:p>
      <w:pPr>
        <w:pStyle w:val="Heading1"/>
        <w:spacing w:after="120" w:before="240"/>
      </w:pPr>
      <w:r>
        <w:rPr>
          <w:b/>
          <w:bCs/>
          <w:color w:val="0E2647"/>
          <w:sz w:val="24"/>
          <w:szCs w:val="24"/>
        </w:rPr>
        <w:t xml:space="preserve">1. მიზანი</w:t>
      </w:r>
    </w:p>
    <w:p>
      <w:pPr>
        <w:spacing w:after="110" w:line="260"/>
      </w:pPr>
      <w:r>
        <w:rPr>
          <w:b w:val="false"/>
          <w:bCs w:val="false"/>
          <w:i w:val="false"/>
          <w:iCs w:val="false"/>
          <w:sz w:val="20"/>
          <w:szCs w:val="20"/>
        </w:rPr>
        <w:t xml:space="preserve">[ORGANIZATION NAME]-ში გამოყენებული ყოველი რეაგენტისა და ხარჯვადი მასალის მიღების, ეტიკეტირების, თვალყურის დევნებისა და ვალიდურ ვადაში გამოყენების უზრუნველყოფა, ისე რომ შედეგები ასახავდნენ ჭეშმარიტ ანალიტიკურ შესრულებას, არა რეაგენტის დეგრადაციას [1–2].</w:t>
      </w:r>
    </w:p>
    <w:p>
      <w:pPr>
        <w:pStyle w:val="Heading1"/>
        <w:spacing w:after="120" w:before="240"/>
      </w:pPr>
      <w:r>
        <w:rPr>
          <w:b/>
          <w:bCs/>
          <w:color w:val="0E2647"/>
          <w:sz w:val="24"/>
          <w:szCs w:val="24"/>
        </w:rPr>
        <w:t xml:space="preserve">2. მოქმედების სფერო</w:t>
      </w:r>
    </w:p>
    <w:p>
      <w:pPr>
        <w:spacing w:after="110" w:line="260"/>
      </w:pPr>
      <w:r>
        <w:rPr>
          <w:b w:val="false"/>
          <w:bCs w:val="false"/>
          <w:i w:val="false"/>
          <w:iCs w:val="false"/>
          <w:sz w:val="20"/>
          <w:szCs w:val="20"/>
        </w:rPr>
        <w:t xml:space="preserve">წინამდებარე პროცედურა ვრცელდება ყოველ რეაგენტზე, კალიბრატორზე, საკონტროლო მასალასა და ტესტირების ხარჯვად მასალაზე, გამოყენებულს [ORGANIZATION NAME]-ის ლაბორატორიაში, მოლეკულური/PCR რეაგენტების ჩათვლით, საკუთარი განსაკუთრებული დამუშავების მოთხოვნებით (მე-8 ნაწილი).</w:t>
      </w:r>
    </w:p>
    <w:p>
      <w:pPr>
        <w:pStyle w:val="Heading1"/>
        <w:spacing w:after="120" w:before="240"/>
      </w:pPr>
      <w:r>
        <w:rPr>
          <w:b/>
          <w:bCs/>
          <w:color w:val="0E2647"/>
          <w:sz w:val="24"/>
          <w:szCs w:val="24"/>
        </w:rPr>
        <w:t xml:space="preserve">3. განმარტებები და შემოკლებები</w:t>
      </w:r>
    </w:p>
    <w:p>
      <w:pPr>
        <w:spacing w:after="70" w:line="245"/>
        <w:ind w:left="260" w:hanging="180"/>
      </w:pPr>
      <w:r>
        <w:rPr>
          <w:sz w:val="19"/>
          <w:szCs w:val="19"/>
        </w:rPr>
        <w:t xml:space="preserve">•  პარტიის თვალყურის დევნება — გამოყენებული ყოველი რეაგენტის კონკრეტული საწარმოო პარტიის ჩაწერა, ისე რომ ერთ პარტიასთან დაკავშირებული პრობლემა შეიძლება იდენტიფიცირდეს და მოგვარდეს, დაზარალებული ელემენტების გამოცნობის გარეშე [1, 3]</w:t>
      </w:r>
    </w:p>
    <w:p>
      <w:pPr>
        <w:spacing w:after="70" w:line="245"/>
        <w:ind w:left="260" w:hanging="180"/>
      </w:pPr>
      <w:r>
        <w:rPr>
          <w:sz w:val="19"/>
          <w:szCs w:val="19"/>
        </w:rPr>
        <w:t xml:space="preserve">•  ხელახალი ტესტირება — ფორმალური, ვალიდირებული პროცესი იმის დასადასტურებლად, რომ რეაგენტი რჩება გამოსადეგი ნომინალურ თარიღს მიღმა, განსხვავებული არაფორმალური ვიზუალური შემოწმებისგან, რომელიც არასაკმარისი მტკიცებულებაა სტაბილურობისთვის [4]</w:t>
      </w:r>
    </w:p>
    <w:p>
      <w:pPr>
        <w:pStyle w:val="Heading1"/>
        <w:spacing w:after="120" w:before="240"/>
      </w:pPr>
      <w:r>
        <w:rPr>
          <w:b/>
          <w:bCs/>
          <w:color w:val="0E2647"/>
          <w:sz w:val="24"/>
          <w:szCs w:val="24"/>
        </w:rPr>
        <w:t xml:space="preserve">4. ზოგადი დებულებები</w:t>
      </w:r>
    </w:p>
    <w:p>
      <w:pPr>
        <w:spacing w:after="110" w:line="260"/>
      </w:pPr>
      <w:r>
        <w:rPr>
          <w:b w:val="false"/>
          <w:bCs w:val="false"/>
          <w:i w:val="false"/>
          <w:iCs w:val="false"/>
          <w:sz w:val="20"/>
          <w:szCs w:val="20"/>
        </w:rPr>
        <w:t xml:space="preserve">რეალური, დოკუმენტირებული მაგალითი: ლაბორატორია, რომელმაც სრულად გაციფრულა რეაგენტის სასიცოცხლო ციკლის თვალყურის დევნება, გაიარა მთავარი ინსპექცია ნულოვანი რეაგენტთან დაკავშირებული დასკვნით, თუნდაც ინსპექტორები კონკრეტულად შეამოწმეს თვალთვალადობა — გუნდს შეეძლო წუთებში ეჩვენებინა, ზუსტად როგორ გადაადგილდა ერთი ფლაკონი მიღებიდან განკარგვამდე [1]. ვადაგასული რეაგენტის გამოყენება არ არის მხოლოდ შემცირებული სიზუსტის რისკი — დეგრადაციამ შეიძლება წარმოქმნას მავნე ქვეპროდუქტები, რომლებიც აზიანებენ შედეგების სანდოობას ისეთი გზებით, რომელთა აღმოჩენაც ვიზუალური შემოწმებით შეუძლებელია [4].</w:t>
      </w:r>
    </w:p>
    <w:p>
      <w:pPr>
        <w:pStyle w:val="Heading1"/>
        <w:spacing w:after="120" w:before="240"/>
      </w:pPr>
      <w:r>
        <w:rPr>
          <w:b/>
          <w:bCs/>
          <w:color w:val="0E2647"/>
          <w:sz w:val="24"/>
          <w:szCs w:val="24"/>
        </w:rPr>
        <w:t xml:space="preserve">5. პასუხისმგებლობების განაწილება</w:t>
      </w:r>
    </w:p>
    <w:tbl>
      <w:tblPr>
        <w:tblW w:type="dxa" w:w="9000"/>
        <w:tblBorders>
          <w:top w:val="single" w:color="D8DEE8" w:sz="4"/>
          <w:left w:val="single" w:color="D8DEE8" w:sz="4"/>
          <w:bottom w:val="single" w:color="D8DEE8" w:sz="4"/>
          <w:right w:val="single" w:color="D8DEE8" w:sz="4"/>
          <w:insideH w:val="single" w:color="D8DEE8" w:sz="4"/>
          <w:insideV w:val="single" w:color="D8DEE8" w:sz="4"/>
        </w:tblBorders>
      </w:tblPr>
      <w:tblGrid>
        <w:gridCol w:w="3600"/>
        <w:gridCol w:w="1350"/>
        <w:gridCol w:w="1350"/>
        <w:gridCol w:w="1350"/>
        <w:gridCol w:w="1350"/>
      </w:tblGrid>
      <w:tr>
        <w:tc>
          <w:tcPr>
            <w:shd w:fill="0E2647" w:val="clear"/>
            <w:tcMar>
              <w:top w:type="dxa" w:w="70"/>
              <w:left w:type="dxa" w:w="80"/>
              <w:bottom w:type="dxa" w:w="70"/>
              <w:right w:type="dxa" w:w="70"/>
            </w:tcMar>
          </w:tcPr>
          <w:p>
            <w:pPr>
              <w:jc w:val="center"/>
            </w:pPr>
            <w:r>
              <w:rPr>
                <w:b/>
                <w:bCs/>
                <w:color w:val="FFFFFF"/>
                <w:sz w:val="13"/>
                <w:szCs w:val="13"/>
              </w:rPr>
              <w:t xml:space="preserve">დავალება</w:t>
            </w:r>
          </w:p>
        </w:tc>
        <w:tc>
          <w:tcPr>
            <w:shd w:fill="0E2647" w:val="clear"/>
            <w:tcMar>
              <w:top w:type="dxa" w:w="70"/>
              <w:left w:type="dxa" w:w="80"/>
              <w:bottom w:type="dxa" w:w="70"/>
              <w:right w:type="dxa" w:w="70"/>
            </w:tcMar>
          </w:tcPr>
          <w:p>
            <w:pPr>
              <w:jc w:val="center"/>
            </w:pPr>
            <w:r>
              <w:rPr>
                <w:b/>
                <w:bCs/>
                <w:color w:val="FFFFFF"/>
                <w:sz w:val="13"/>
                <w:szCs w:val="13"/>
              </w:rPr>
              <w:t xml:space="preserve">დირექტორი</w:t>
            </w:r>
          </w:p>
        </w:tc>
        <w:tc>
          <w:tcPr>
            <w:shd w:fill="0E2647" w:val="clear"/>
            <w:tcMar>
              <w:top w:type="dxa" w:w="70"/>
              <w:left w:type="dxa" w:w="80"/>
              <w:bottom w:type="dxa" w:w="70"/>
              <w:right w:type="dxa" w:w="70"/>
            </w:tcMar>
          </w:tcPr>
          <w:p>
            <w:pPr>
              <w:jc w:val="center"/>
            </w:pPr>
            <w:r>
              <w:rPr>
                <w:b/>
                <w:bCs/>
                <w:color w:val="FFFFFF"/>
                <w:sz w:val="13"/>
                <w:szCs w:val="13"/>
              </w:rPr>
              <w:t xml:space="preserve">ლაბორატორიის ხელმძღვ.</w:t>
            </w:r>
          </w:p>
        </w:tc>
        <w:tc>
          <w:tcPr>
            <w:shd w:fill="0E2647" w:val="clear"/>
            <w:tcMar>
              <w:top w:type="dxa" w:w="70"/>
              <w:left w:type="dxa" w:w="80"/>
              <w:bottom w:type="dxa" w:w="70"/>
              <w:right w:type="dxa" w:w="70"/>
            </w:tcMar>
          </w:tcPr>
          <w:p>
            <w:pPr>
              <w:jc w:val="center"/>
            </w:pPr>
            <w:r>
              <w:rPr>
                <w:b/>
                <w:bCs/>
                <w:color w:val="FFFFFF"/>
                <w:sz w:val="13"/>
                <w:szCs w:val="13"/>
              </w:rPr>
              <w:t xml:space="preserve">ტექნოლოგი</w:t>
            </w:r>
          </w:p>
        </w:tc>
        <w:tc>
          <w:tcPr>
            <w:shd w:fill="0E2647" w:val="clear"/>
            <w:tcMar>
              <w:top w:type="dxa" w:w="70"/>
              <w:left w:type="dxa" w:w="80"/>
              <w:bottom w:type="dxa" w:w="70"/>
              <w:right w:type="dxa" w:w="70"/>
            </w:tcMar>
          </w:tcPr>
          <w:p>
            <w:pPr>
              <w:jc w:val="center"/>
            </w:pPr>
            <w:r>
              <w:rPr>
                <w:b/>
                <w:bCs/>
                <w:color w:val="FFFFFF"/>
                <w:sz w:val="13"/>
                <w:szCs w:val="13"/>
              </w:rPr>
              <w:t xml:space="preserve">-</w:t>
            </w:r>
          </w:p>
        </w:tc>
      </w:tr>
      <w:tr>
        <w:tc>
          <w:tcPr>
            <w:tcMar>
              <w:top w:type="dxa" w:w="70"/>
              <w:left w:type="dxa" w:w="80"/>
              <w:bottom w:type="dxa" w:w="70"/>
              <w:right w:type="dxa" w:w="70"/>
            </w:tcMar>
            <w:vAlign w:val="center"/>
          </w:tcPr>
          <w:p>
            <w:pPr>
              <w:jc w:val="left"/>
            </w:pPr>
            <w:r>
              <w:rPr>
                <w:b/>
                <w:bCs/>
                <w:sz w:val="14"/>
                <w:szCs w:val="14"/>
              </w:rPr>
              <w:t xml:space="preserve">ინსტრუქციის დამტკიცება</w:t>
            </w:r>
          </w:p>
        </w:tc>
        <w:tc>
          <w:tcPr>
            <w:tcMar>
              <w:top w:type="dxa" w:w="70"/>
              <w:left w:type="dxa" w:w="80"/>
              <w:bottom w:type="dxa" w:w="70"/>
              <w:right w:type="dxa" w:w="70"/>
            </w:tcMar>
            <w:vAlign w:val="center"/>
          </w:tcPr>
          <w:p>
            <w:pPr>
              <w:jc w:val="center"/>
            </w:pPr>
            <w:r>
              <w:rPr>
                <w:b w:val="false"/>
                <w:bCs w:val="false"/>
                <w:sz w:val="15"/>
                <w:szCs w:val="15"/>
              </w:rPr>
              <w:t xml:space="preserve">საბოლოო</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r>
      <w:tr>
        <w:tc>
          <w:tcPr>
            <w:tcMar>
              <w:top w:type="dxa" w:w="70"/>
              <w:left w:type="dxa" w:w="80"/>
              <w:bottom w:type="dxa" w:w="70"/>
              <w:right w:type="dxa" w:w="70"/>
            </w:tcMar>
            <w:vAlign w:val="center"/>
          </w:tcPr>
          <w:p>
            <w:pPr>
              <w:jc w:val="left"/>
            </w:pPr>
            <w:r>
              <w:rPr>
                <w:b/>
                <w:bCs/>
                <w:sz w:val="14"/>
                <w:szCs w:val="14"/>
              </w:rPr>
              <w:t xml:space="preserve">რეაგენტის ინვენტარი და შევსების წერტილის შენარჩუნება</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პასუხისმგებელი</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r>
      <w:tr>
        <w:tc>
          <w:tcPr>
            <w:tcMar>
              <w:top w:type="dxa" w:w="70"/>
              <w:left w:type="dxa" w:w="80"/>
              <w:bottom w:type="dxa" w:w="70"/>
              <w:right w:type="dxa" w:w="70"/>
            </w:tcMar>
            <w:vAlign w:val="center"/>
          </w:tcPr>
          <w:p>
            <w:pPr>
              <w:jc w:val="left"/>
            </w:pPr>
            <w:r>
              <w:rPr>
                <w:b/>
                <w:bCs/>
                <w:sz w:val="14"/>
                <w:szCs w:val="14"/>
              </w:rPr>
              <w:t xml:space="preserve">მიღების შემოწმება და ეტიკეტირება</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პასუხისმგებელი</w:t>
            </w:r>
          </w:p>
        </w:tc>
        <w:tc>
          <w:tcPr>
            <w:tcMar>
              <w:top w:type="dxa" w:w="70"/>
              <w:left w:type="dxa" w:w="80"/>
              <w:bottom w:type="dxa" w:w="70"/>
              <w:right w:type="dxa" w:w="70"/>
            </w:tcMar>
            <w:vAlign w:val="center"/>
          </w:tcPr>
          <w:p>
            <w:pPr>
              <w:jc w:val="center"/>
            </w:pPr>
            <w:r>
              <w:rPr>
                <w:b w:val="false"/>
                <w:bCs w:val="false"/>
                <w:sz w:val="15"/>
                <w:szCs w:val="15"/>
              </w:rPr>
              <w:t xml:space="preserve"/>
            </w:r>
          </w:p>
        </w:tc>
      </w:tr>
      <w:tr>
        <w:tc>
          <w:tcPr>
            <w:tcMar>
              <w:top w:type="dxa" w:w="70"/>
              <w:left w:type="dxa" w:w="80"/>
              <w:bottom w:type="dxa" w:w="70"/>
              <w:right w:type="dxa" w:w="70"/>
            </w:tcMar>
            <w:vAlign w:val="center"/>
          </w:tcPr>
          <w:p>
            <w:pPr>
              <w:jc w:val="left"/>
            </w:pPr>
            <w:r>
              <w:rPr>
                <w:b/>
                <w:bCs/>
                <w:sz w:val="14"/>
                <w:szCs w:val="14"/>
              </w:rPr>
              <w:t xml:space="preserve">ყოველდღიური ვადის შემოწმება გამოყენებამდე</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პასუხისმგებელი</w:t>
            </w:r>
          </w:p>
        </w:tc>
        <w:tc>
          <w:tcPr>
            <w:tcMar>
              <w:top w:type="dxa" w:w="70"/>
              <w:left w:type="dxa" w:w="80"/>
              <w:bottom w:type="dxa" w:w="70"/>
              <w:right w:type="dxa" w:w="70"/>
            </w:tcMar>
            <w:vAlign w:val="center"/>
          </w:tcPr>
          <w:p>
            <w:pPr>
              <w:jc w:val="center"/>
            </w:pPr>
            <w:r>
              <w:rPr>
                <w:b w:val="false"/>
                <w:bCs w:val="false"/>
                <w:sz w:val="15"/>
                <w:szCs w:val="15"/>
              </w:rPr>
              <w:t xml:space="preserve"/>
            </w:r>
          </w:p>
        </w:tc>
      </w:tr>
      <w:tr>
        <w:tc>
          <w:tcPr>
            <w:tcMar>
              <w:top w:type="dxa" w:w="70"/>
              <w:left w:type="dxa" w:w="80"/>
              <w:bottom w:type="dxa" w:w="70"/>
              <w:right w:type="dxa" w:w="70"/>
            </w:tcMar>
            <w:vAlign w:val="center"/>
          </w:tcPr>
          <w:p>
            <w:pPr>
              <w:jc w:val="left"/>
            </w:pPr>
            <w:r>
              <w:rPr>
                <w:b/>
                <w:bCs/>
                <w:sz w:val="14"/>
                <w:szCs w:val="14"/>
              </w:rPr>
              <w:t xml:space="preserve">ხელახალი ტესტირების პროტოკოლის გადაწყვეტილებები</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პასუხისმგებელი</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r>
    </w:tbl>
    <w:p>
      <w:pPr>
        <w:pStyle w:val="Heading1"/>
        <w:spacing w:after="120" w:before="240"/>
      </w:pPr>
      <w:r>
        <w:rPr>
          <w:b/>
          <w:bCs/>
          <w:color w:val="0E2647"/>
          <w:sz w:val="24"/>
          <w:szCs w:val="24"/>
        </w:rPr>
        <w:t xml:space="preserve">6. მიღება და ეტიკეტირება</w:t>
      </w:r>
    </w:p>
    <w:p>
      <w:pPr>
        <w:spacing w:after="70" w:line="245"/>
        <w:ind w:left="260" w:hanging="180"/>
      </w:pPr>
      <w:r>
        <w:rPr>
          <w:sz w:val="19"/>
          <w:szCs w:val="19"/>
        </w:rPr>
        <w:t xml:space="preserve">•  ყოველი შემომავალი რეაგენტი მოწმდება მიღებისას, მიღების თარიღი ემატება ეტიკეტს მწარმოებლის პარტიის ნომერთან და ვადის ამოწურვის თარიღთან ერთად — მიღების თარიღი შესაძლებლობას იძლევა ხელახალი ტესტირების ან ჩანაცვლების დაგეგმვის დაბეჭდილი ვადისგან დამოუკიდებლად [4]</w:t>
      </w:r>
    </w:p>
    <w:p>
      <w:pPr>
        <w:spacing w:after="70" w:line="245"/>
        <w:ind w:left="260" w:hanging="180"/>
      </w:pPr>
      <w:r>
        <w:rPr>
          <w:sz w:val="19"/>
          <w:szCs w:val="19"/>
        </w:rPr>
        <w:t xml:space="preserve">•  ეტიკეტები აცხადებენ სახელს, კონცენტრაციას, ვადის ამოწურვის თარიღსა და ნებისმიერ გამოსაყენებელ საფრთხის გაფრთხილებას [5]</w:t>
      </w:r>
    </w:p>
    <w:p>
      <w:pPr>
        <w:spacing w:after="70" w:line="245"/>
        <w:ind w:left="260" w:hanging="180"/>
      </w:pPr>
      <w:r>
        <w:rPr>
          <w:sz w:val="19"/>
          <w:szCs w:val="19"/>
        </w:rPr>
        <w:t xml:space="preserve">•  კრიტიკული რეაგენტებისთვის დგინდება მინიმალური მარაგის დონეები (შევსების წერტილები), შეუმჩნეველი დეფიციტის გამო ტესტირების შეფერხების თავიდან ასაცილებლად [5]</w:t>
      </w:r>
    </w:p>
    <w:p>
      <w:pPr>
        <w:pStyle w:val="Heading1"/>
        <w:spacing w:after="120" w:before="240"/>
      </w:pPr>
      <w:r>
        <w:rPr>
          <w:b/>
          <w:bCs/>
          <w:color w:val="0E2647"/>
          <w:sz w:val="24"/>
          <w:szCs w:val="24"/>
        </w:rPr>
        <w:t xml:space="preserve">7. ვადის ამოწურვის მართვა</w:t>
      </w:r>
    </w:p>
    <w:p>
      <w:pPr>
        <w:pBdr>
          <w:left w:val="single" w:color="C0392B" w:sz="16" w:space="10"/>
        </w:pBdr>
        <w:shd w:fill="FDECEC" w:val="clear"/>
        <w:spacing w:after="160" w:before="110"/>
      </w:pPr>
      <w:r>
        <w:rPr>
          <w:b/>
          <w:bCs/>
          <w:i/>
          <w:iCs/>
          <w:color w:val="7B241C"/>
          <w:sz w:val="18"/>
          <w:szCs w:val="18"/>
        </w:rPr>
        <w:t xml:space="preserve">რეაგენტის სტაბილურობა ვერ ფასდება გარეგნობით — მწარმოებლის ვადის ამოწურვის თარიღი დაცულია გარეგნობის მიუხედავად, და მის მიღმა ნებისმიერი გახანგრძლივება მოითხოვს ფორმალურ, ვალიდირებულ ხელახალი ტესტირების პროტოკოლს, არა ვიზუალურ განსჯას [4].</w:t>
      </w:r>
    </w:p>
    <w:p>
      <w:pPr>
        <w:spacing w:after="90" w:line="255"/>
        <w:ind w:left="340" w:hanging="340"/>
      </w:pPr>
      <w:r>
        <w:rPr>
          <w:b/>
          <w:bCs/>
          <w:color w:val="0E2647"/>
          <w:sz w:val="19"/>
          <w:szCs w:val="19"/>
        </w:rPr>
        <w:t xml:space="preserve">ნაბიჯი 1.  </w:t>
      </w:r>
      <w:r>
        <w:rPr>
          <w:sz w:val="19"/>
          <w:szCs w:val="19"/>
        </w:rPr>
        <w:t xml:space="preserve">შეამოწმეთ ვადა ყოველ გამოყენებამდე, არა მხოლოდ მიღებისას</w:t>
      </w:r>
    </w:p>
    <w:p>
      <w:pPr>
        <w:spacing w:after="90" w:line="255"/>
        <w:ind w:left="340" w:hanging="340"/>
      </w:pPr>
      <w:r>
        <w:rPr>
          <w:b/>
          <w:bCs/>
          <w:color w:val="0E2647"/>
          <w:sz w:val="19"/>
          <w:szCs w:val="19"/>
        </w:rPr>
        <w:t xml:space="preserve">ნაბიჯი 2.  </w:t>
      </w:r>
      <w:r>
        <w:rPr>
          <w:sz w:val="19"/>
          <w:szCs w:val="19"/>
        </w:rPr>
        <w:t xml:space="preserve">სადაც ხელახალი ტესტირება გამოიყენება რეაგენტის გამოყენების ნომინალურ თარიღს მიღმა გასახანგრძლივებლად, ხელახალი ტესტირების პროტოკოლი დაფუძნებულია რეაგენტის თავდაპირველ შენახვის ვადაზე, შენახვის პირობებსა და ანალიტიკურ პროცედურაში როლზე, ვალიდირებული მეთოდების გამოყენებით კრიტიკული ხარისხის ატრიბუტების შესამოწმებლად [4]</w:t>
      </w:r>
    </w:p>
    <w:p>
      <w:pPr>
        <w:spacing w:after="90" w:line="255"/>
        <w:ind w:left="340" w:hanging="340"/>
      </w:pPr>
      <w:r>
        <w:rPr>
          <w:b/>
          <w:bCs/>
          <w:color w:val="0E2647"/>
          <w:sz w:val="19"/>
          <w:szCs w:val="19"/>
        </w:rPr>
        <w:t xml:space="preserve">ნაბიჯი 3.  </w:t>
      </w:r>
      <w:r>
        <w:rPr>
          <w:sz w:val="19"/>
          <w:szCs w:val="19"/>
        </w:rPr>
        <w:t xml:space="preserve">დააფიქსირეთ ყოველი ხელახალი ტესტირების გადაწყვეტილება — არ განიხილება როგორც ერთჯერადი განსჯა, გაკეთებული განსხვავებულად ვისაც არ უნდა ჰქონდეს ცვლა</w:t>
      </w:r>
    </w:p>
    <w:p>
      <w:pPr>
        <w:pStyle w:val="Heading1"/>
        <w:spacing w:after="120" w:before="240"/>
      </w:pPr>
      <w:r>
        <w:rPr>
          <w:b/>
          <w:bCs/>
          <w:color w:val="0E2647"/>
          <w:sz w:val="24"/>
          <w:szCs w:val="24"/>
        </w:rPr>
        <w:t xml:space="preserve">8. მოლეკულური რეაგენტის განსაკუთრებული დამუშავება</w:t>
      </w:r>
    </w:p>
    <w:p>
      <w:pPr>
        <w:spacing w:after="110" w:line="260"/>
      </w:pPr>
      <w:r>
        <w:rPr>
          <w:b w:val="false"/>
          <w:bCs w:val="false"/>
          <w:i w:val="false"/>
          <w:iCs w:val="false"/>
          <w:sz w:val="20"/>
          <w:szCs w:val="20"/>
        </w:rPr>
        <w:t xml:space="preserve">მოლეკულური/PCR რეაგენტები ატარებენ რეალურ, დამატებით დამუშავების მოთხოვნებს სტანდარტული რეაგენტის მართვის მიღმა.</w:t>
      </w:r>
    </w:p>
    <w:p>
      <w:pPr>
        <w:spacing w:after="70" w:line="245"/>
        <w:ind w:left="260" w:hanging="180"/>
      </w:pPr>
      <w:r>
        <w:rPr>
          <w:sz w:val="19"/>
          <w:szCs w:val="19"/>
        </w:rPr>
        <w:t xml:space="preserve">•  გაყინვის/დნობის ციკლები ითვლება და ეთვალყურება რეაგენტებისთვის, მგრძნობიარე განმეორებითი ტემპერატურის ციკლისადმი — ეს არის რეალური, დოკუმენტირებული მთლიანობის ფაქტორი, განსხვავებული უბრალო ვადის ამოწურვის თარიღისგან [3]</w:t>
      </w:r>
    </w:p>
    <w:p>
      <w:pPr>
        <w:spacing w:after="70" w:line="245"/>
        <w:ind w:left="260" w:hanging="180"/>
      </w:pPr>
      <w:r>
        <w:rPr>
          <w:sz w:val="19"/>
          <w:szCs w:val="19"/>
        </w:rPr>
        <w:t xml:space="preserve">•  შენახვის ადგილმდებარეობა ეთვალყურება ჭეშმარიტი სიზუსტით (საყინულე, თარო, ყუთის პოზიცია), არა უბრალოდ „საყინულეში“, განსაკუთრებით სადაც რეაგენტები დანაწილებულია მრავალ მცირე მოცულობად [3]</w:t>
      </w:r>
    </w:p>
    <w:p>
      <w:pPr>
        <w:pStyle w:val="Heading1"/>
        <w:spacing w:after="120" w:before="240"/>
      </w:pPr>
      <w:r>
        <w:rPr>
          <w:b/>
          <w:bCs/>
          <w:color w:val="0E2647"/>
          <w:sz w:val="24"/>
          <w:szCs w:val="24"/>
        </w:rPr>
        <w:t xml:space="preserve">9. განსაკუთრებული პირობები</w:t>
      </w:r>
    </w:p>
    <w:p>
      <w:pPr>
        <w:spacing w:after="70" w:line="245"/>
        <w:ind w:left="260" w:hanging="180"/>
      </w:pPr>
      <w:r>
        <w:rPr>
          <w:sz w:val="19"/>
          <w:szCs w:val="19"/>
        </w:rPr>
        <w:t xml:space="preserve">•  გაუთვალისწინებელი QC ან პაციენტის შედეგებით გამოვლენილი პრობლემური პარტია (SOP-LAB-02) ეთვალყურება პარტიის თვალყურის დევნებით ყოველ დაზარალებულ, ჯერ კიდევ გამოყენებულ ელემენტამდე, არ ივარაუდება იზოლირებული კონკრეტული ტესტისთვის, რომელმაც წამოაჭრა შეშფოთება</w:t>
      </w:r>
    </w:p>
    <w:p>
      <w:pPr>
        <w:spacing w:after="70" w:line="245"/>
        <w:ind w:left="260" w:hanging="180"/>
      </w:pPr>
      <w:r>
        <w:rPr>
          <w:sz w:val="19"/>
          <w:szCs w:val="19"/>
        </w:rPr>
        <w:t xml:space="preserve">•  თანმიმდევრული ეტიკეტირება უჭერს მხარს ჭეშმარიტ პარტიის-დონის თვალთვალადობას ნებისმიერი აუდიტის ან გამოძიების დროს, არა მხოლოდ ყოველდღიურ მოხერხებულობას</w:t>
      </w:r>
    </w:p>
    <w:p>
      <w:pPr>
        <w:pStyle w:val="Heading1"/>
        <w:spacing w:after="120" w:before="240"/>
      </w:pPr>
      <w:r>
        <w:rPr>
          <w:b/>
          <w:bCs/>
          <w:color w:val="0E2647"/>
          <w:sz w:val="24"/>
          <w:szCs w:val="24"/>
        </w:rPr>
        <w:t xml:space="preserve">10. პროცესის ეფექტურობის მაჩვენებლები (KPI)</w:t>
      </w:r>
    </w:p>
    <w:p>
      <w:pPr>
        <w:spacing w:after="70" w:line="245"/>
        <w:ind w:left="260" w:hanging="180"/>
      </w:pPr>
      <w:r>
        <w:rPr>
          <w:sz w:val="19"/>
          <w:szCs w:val="19"/>
        </w:rPr>
        <w:t xml:space="preserve">•  ვადაგასული რეაგენტი აქტიურ გამოყენებაში ნაპოვნი (მიზანი: ნული)</w:t>
      </w:r>
    </w:p>
    <w:p>
      <w:pPr>
        <w:spacing w:after="70" w:line="245"/>
        <w:ind w:left="260" w:hanging="180"/>
      </w:pPr>
      <w:r>
        <w:rPr>
          <w:sz w:val="19"/>
          <w:szCs w:val="19"/>
        </w:rPr>
        <w:t xml:space="preserve">•  კრიტიკული რეაგენტის დეფიციტის შემთხვევები</w:t>
      </w:r>
    </w:p>
    <w:p>
      <w:pPr>
        <w:spacing w:after="70" w:line="245"/>
        <w:ind w:left="260" w:hanging="180"/>
      </w:pPr>
      <w:r>
        <w:rPr>
          <w:sz w:val="19"/>
          <w:szCs w:val="19"/>
        </w:rPr>
        <w:t xml:space="preserve">•  ხელახალი ტესტირების გადაწყვეტილებები სრული, ვალიდირებული დოკუმენტაციით</w:t>
      </w:r>
    </w:p>
    <w:p>
      <w:pPr>
        <w:pStyle w:val="Heading1"/>
        <w:spacing w:after="120" w:before="240"/>
      </w:pPr>
      <w:r>
        <w:rPr>
          <w:b/>
          <w:bCs/>
          <w:color w:val="0E2647"/>
          <w:sz w:val="24"/>
          <w:szCs w:val="24"/>
        </w:rPr>
        <w:t xml:space="preserve">11. თანმხლები დოკუმენტაცია</w:t>
      </w:r>
    </w:p>
    <w:tbl>
      <w:tblPr>
        <w:tblW w:type="dxa" w:w="6000"/>
        <w:tblBorders>
          <w:top w:val="single" w:color="D8DEE8" w:sz="4"/>
          <w:left w:val="single" w:color="D8DEE8" w:sz="4"/>
          <w:bottom w:val="single" w:color="D8DEE8" w:sz="4"/>
          <w:right w:val="single" w:color="D8DEE8" w:sz="4"/>
          <w:insideH w:val="single" w:color="D8DEE8" w:sz="4"/>
          <w:insideV w:val="single" w:color="D8DEE8" w:sz="4"/>
        </w:tblBorders>
      </w:tblPr>
      <w:tblGrid>
        <w:gridCol w:w="1800"/>
        <w:gridCol w:w="4200"/>
      </w:tblGrid>
      <w:tr>
        <w:tc>
          <w:tcPr>
            <w:tcMar>
              <w:top w:type="dxa" w:w="70"/>
              <w:left w:type="dxa" w:w="100"/>
              <w:bottom w:type="dxa" w:w="70"/>
              <w:right w:type="dxa" w:w="90"/>
            </w:tcMar>
            <w:vAlign w:val="center"/>
          </w:tcPr>
          <w:p>
            <w:r>
              <w:rPr>
                <w:b/>
                <w:bCs/>
                <w:sz w:val="15"/>
                <w:szCs w:val="15"/>
              </w:rPr>
              <w:t xml:space="preserve">აღნიშვნა</w:t>
            </w:r>
          </w:p>
        </w:tc>
        <w:tc>
          <w:tcPr>
            <w:tcMar>
              <w:top w:type="dxa" w:w="70"/>
              <w:left w:type="dxa" w:w="100"/>
              <w:bottom w:type="dxa" w:w="70"/>
              <w:right w:type="dxa" w:w="90"/>
            </w:tcMar>
            <w:vAlign w:val="center"/>
          </w:tcPr>
          <w:p>
            <w:r>
              <w:rPr>
                <w:b w:val="false"/>
                <w:bCs w:val="false"/>
                <w:sz w:val="15"/>
                <w:szCs w:val="15"/>
              </w:rPr>
              <w:t xml:space="preserve">დასახელება</w:t>
            </w:r>
          </w:p>
        </w:tc>
      </w:tr>
      <w:tr>
        <w:tc>
          <w:tcPr>
            <w:tcMar>
              <w:top w:type="dxa" w:w="70"/>
              <w:left w:type="dxa" w:w="100"/>
              <w:bottom w:type="dxa" w:w="70"/>
              <w:right w:type="dxa" w:w="90"/>
            </w:tcMar>
            <w:vAlign w:val="center"/>
          </w:tcPr>
          <w:p>
            <w:r>
              <w:rPr>
                <w:b/>
                <w:bCs/>
                <w:sz w:val="15"/>
                <w:szCs w:val="15"/>
              </w:rPr>
              <w:t xml:space="preserve">SOP-LAB-02</w:t>
            </w:r>
          </w:p>
        </w:tc>
        <w:tc>
          <w:tcPr>
            <w:tcMar>
              <w:top w:type="dxa" w:w="70"/>
              <w:left w:type="dxa" w:w="100"/>
              <w:bottom w:type="dxa" w:w="70"/>
              <w:right w:type="dxa" w:w="90"/>
            </w:tcMar>
            <w:vAlign w:val="center"/>
          </w:tcPr>
          <w:p>
            <w:r>
              <w:rPr>
                <w:b w:val="false"/>
                <w:bCs w:val="false"/>
                <w:sz w:val="15"/>
                <w:szCs w:val="15"/>
              </w:rPr>
              <w:t xml:space="preserve">ლაბორატორიის შიდა QC</w:t>
            </w:r>
          </w:p>
        </w:tc>
      </w:tr>
      <w:tr>
        <w:tc>
          <w:tcPr>
            <w:tcMar>
              <w:top w:type="dxa" w:w="70"/>
              <w:left w:type="dxa" w:w="100"/>
              <w:bottom w:type="dxa" w:w="70"/>
              <w:right w:type="dxa" w:w="90"/>
            </w:tcMar>
            <w:vAlign w:val="center"/>
          </w:tcPr>
          <w:p>
            <w:r>
              <w:rPr>
                <w:b/>
                <w:bCs/>
                <w:sz w:val="15"/>
                <w:szCs w:val="15"/>
              </w:rPr>
              <w:t xml:space="preserve">CC-02</w:t>
            </w:r>
          </w:p>
        </w:tc>
        <w:tc>
          <w:tcPr>
            <w:tcMar>
              <w:top w:type="dxa" w:w="70"/>
              <w:left w:type="dxa" w:w="100"/>
              <w:bottom w:type="dxa" w:w="70"/>
              <w:right w:type="dxa" w:w="90"/>
            </w:tcMar>
            <w:vAlign w:val="center"/>
          </w:tcPr>
          <w:p>
            <w:r>
              <w:rPr>
                <w:b w:val="false"/>
                <w:bCs w:val="false"/>
                <w:sz w:val="15"/>
                <w:szCs w:val="15"/>
              </w:rPr>
              <w:t xml:space="preserve">მომწოდებლების შეფასება</w:t>
            </w:r>
          </w:p>
        </w:tc>
      </w:tr>
    </w:tbl>
    <w:p>
      <w:pPr>
        <w:pStyle w:val="Heading1"/>
        <w:spacing w:after="120" w:before="240"/>
      </w:pPr>
      <w:r>
        <w:rPr>
          <w:b/>
          <w:bCs/>
          <w:color w:val="0E2647"/>
          <w:sz w:val="24"/>
          <w:szCs w:val="24"/>
        </w:rPr>
        <w:t xml:space="preserve">12. შეთანხმების ფურცელი</w:t>
      </w:r>
    </w:p>
    <w:tbl>
      <w:tblPr>
        <w:tblW w:type="dxa" w:w="9000"/>
        <w:tblBorders>
          <w:top w:val="single" w:color="D8DEE8" w:sz="4"/>
          <w:left w:val="single" w:color="D8DEE8" w:sz="4"/>
          <w:bottom w:val="single" w:color="D8DEE8" w:sz="4"/>
          <w:right w:val="single" w:color="D8DEE8" w:sz="4"/>
          <w:insideH w:val="single" w:color="D8DEE8" w:sz="4"/>
          <w:insideV w:val="single" w:color="D8DEE8" w:sz="4"/>
        </w:tblBorders>
      </w:tblPr>
      <w:tblGrid>
        <w:gridCol w:w="3000"/>
        <w:gridCol w:w="3000"/>
        <w:gridCol w:w="3000"/>
      </w:tblGrid>
      <w:tr>
        <w:tc>
          <w:tcPr>
            <w:tcMar>
              <w:top w:type="dxa" w:w="70"/>
              <w:left w:type="dxa" w:w="100"/>
              <w:bottom w:type="dxa" w:w="70"/>
              <w:right w:type="dxa" w:w="90"/>
            </w:tcMar>
            <w:vAlign w:val="center"/>
          </w:tcPr>
          <w:p>
            <w:r>
              <w:rPr>
                <w:b/>
                <w:bCs/>
                <w:sz w:val="15"/>
                <w:szCs w:val="15"/>
              </w:rPr>
              <w:t xml:space="preserve">როლი</w:t>
            </w:r>
          </w:p>
        </w:tc>
        <w:tc>
          <w:tcPr>
            <w:tcMar>
              <w:top w:type="dxa" w:w="70"/>
              <w:left w:type="dxa" w:w="100"/>
              <w:bottom w:type="dxa" w:w="70"/>
              <w:right w:type="dxa" w:w="90"/>
            </w:tcMar>
            <w:vAlign w:val="center"/>
          </w:tcPr>
          <w:p>
            <w:r>
              <w:rPr>
                <w:b w:val="false"/>
                <w:bCs w:val="false"/>
                <w:sz w:val="15"/>
                <w:szCs w:val="15"/>
              </w:rPr>
              <w:t xml:space="preserve">თარიღი</w:t>
            </w:r>
          </w:p>
        </w:tc>
        <w:tc>
          <w:tcPr>
            <w:tcMar>
              <w:top w:type="dxa" w:w="70"/>
              <w:left w:type="dxa" w:w="100"/>
              <w:bottom w:type="dxa" w:w="70"/>
              <w:right w:type="dxa" w:w="90"/>
            </w:tcMar>
            <w:vAlign w:val="center"/>
          </w:tcPr>
          <w:p>
            <w:r>
              <w:rPr>
                <w:b w:val="false"/>
                <w:bCs w:val="false"/>
                <w:sz w:val="15"/>
                <w:szCs w:val="15"/>
              </w:rPr>
              <w:t xml:space="preserve">ხელმოწერა</w:t>
            </w:r>
          </w:p>
        </w:tc>
      </w:tr>
      <w:tr>
        <w:tc>
          <w:tcPr>
            <w:tcMar>
              <w:top w:type="dxa" w:w="70"/>
              <w:left w:type="dxa" w:w="100"/>
              <w:bottom w:type="dxa" w:w="70"/>
              <w:right w:type="dxa" w:w="90"/>
            </w:tcMar>
            <w:vAlign w:val="center"/>
          </w:tcPr>
          <w:p>
            <w:r>
              <w:rPr>
                <w:b/>
                <w:bCs/>
                <w:sz w:val="15"/>
                <w:szCs w:val="15"/>
              </w:rPr>
              <w:t xml:space="preserve">შემუშავებულია: [ლაბორატორიის ხელმძღვანელის სახელი]</w:t>
            </w:r>
          </w:p>
        </w:tc>
        <w:tc>
          <w:tcPr>
            <w:tcMar>
              <w:top w:type="dxa" w:w="70"/>
              <w:left w:type="dxa" w:w="100"/>
              <w:bottom w:type="dxa" w:w="70"/>
              <w:right w:type="dxa" w:w="90"/>
            </w:tcMar>
            <w:vAlign w:val="center"/>
          </w:tcPr>
          <w:p>
            <w:r>
              <w:rPr>
                <w:b w:val="false"/>
                <w:bCs w:val="false"/>
                <w:sz w:val="15"/>
                <w:szCs w:val="15"/>
              </w:rPr>
              <w:t xml:space="preserve">___________</w:t>
            </w:r>
          </w:p>
        </w:tc>
        <w:tc>
          <w:tcPr>
            <w:tcMar>
              <w:top w:type="dxa" w:w="70"/>
              <w:left w:type="dxa" w:w="100"/>
              <w:bottom w:type="dxa" w:w="70"/>
              <w:right w:type="dxa" w:w="90"/>
            </w:tcMar>
            <w:vAlign w:val="center"/>
          </w:tcPr>
          <w:p>
            <w:r>
              <w:rPr>
                <w:b w:val="false"/>
                <w:bCs w:val="false"/>
                <w:sz w:val="15"/>
                <w:szCs w:val="15"/>
              </w:rPr>
              <w:t xml:space="preserve">___________</w:t>
            </w:r>
          </w:p>
        </w:tc>
      </w:tr>
      <w:tr>
        <w:tc>
          <w:tcPr>
            <w:tcMar>
              <w:top w:type="dxa" w:w="70"/>
              <w:left w:type="dxa" w:w="100"/>
              <w:bottom w:type="dxa" w:w="70"/>
              <w:right w:type="dxa" w:w="90"/>
            </w:tcMar>
            <w:vAlign w:val="center"/>
          </w:tcPr>
          <w:p>
            <w:r>
              <w:rPr>
                <w:b/>
                <w:bCs/>
                <w:sz w:val="15"/>
                <w:szCs w:val="15"/>
              </w:rPr>
              <w:t xml:space="preserve">შეთანხმებულია: [ხარისხის მენეჯერის სახელი]</w:t>
            </w:r>
          </w:p>
        </w:tc>
        <w:tc>
          <w:tcPr>
            <w:tcMar>
              <w:top w:type="dxa" w:w="70"/>
              <w:left w:type="dxa" w:w="100"/>
              <w:bottom w:type="dxa" w:w="70"/>
              <w:right w:type="dxa" w:w="90"/>
            </w:tcMar>
            <w:vAlign w:val="center"/>
          </w:tcPr>
          <w:p>
            <w:r>
              <w:rPr>
                <w:b w:val="false"/>
                <w:bCs w:val="false"/>
                <w:sz w:val="15"/>
                <w:szCs w:val="15"/>
              </w:rPr>
              <w:t xml:space="preserve">___________</w:t>
            </w:r>
          </w:p>
        </w:tc>
        <w:tc>
          <w:tcPr>
            <w:tcMar>
              <w:top w:type="dxa" w:w="70"/>
              <w:left w:type="dxa" w:w="100"/>
              <w:bottom w:type="dxa" w:w="70"/>
              <w:right w:type="dxa" w:w="90"/>
            </w:tcMar>
            <w:vAlign w:val="center"/>
          </w:tcPr>
          <w:p>
            <w:r>
              <w:rPr>
                <w:b w:val="false"/>
                <w:bCs w:val="false"/>
                <w:sz w:val="15"/>
                <w:szCs w:val="15"/>
              </w:rPr>
              <w:t xml:space="preserve">___________</w:t>
            </w:r>
          </w:p>
        </w:tc>
      </w:tr>
    </w:tbl>
    <w:p>
      <w:pPr>
        <w:pBdr>
          <w:bottom w:val="single" w:color="D8DEE8" w:sz="6"/>
        </w:pBdr>
        <w:spacing w:after="180" w:before="60"/>
      </w:pPr>
    </w:p>
    <w:p>
      <w:pPr>
        <w:spacing w:after="80" w:before="80"/>
      </w:pPr>
      <w:r>
        <w:rPr>
          <w:b/>
          <w:bCs/>
          <w:color w:val="0E2647"/>
          <w:sz w:val="19"/>
          <w:szCs w:val="19"/>
        </w:rPr>
        <w:t xml:space="preserve">წყაროები</w:t>
      </w:r>
    </w:p>
    <w:p>
      <w:pPr>
        <w:spacing w:after="90" w:line="230"/>
        <w:ind w:left="320" w:hanging="320"/>
      </w:pPr>
      <w:r>
        <w:rPr>
          <w:b/>
          <w:bCs/>
          <w:color w:val="0E2647"/>
          <w:sz w:val="15"/>
          <w:szCs w:val="15"/>
        </w:rPr>
        <w:t xml:space="preserve">[1] </w:t>
      </w:r>
      <w:r>
        <w:rPr>
          <w:sz w:val="15"/>
          <w:szCs w:val="15"/>
        </w:rPr>
        <w:t xml:space="preserve">LabVantage. Redefine Reagent Lifecycle Management with Integrated LIMS and ELN — ნულოვანი დასკვნის ინსპექციის მაგალითი. 2026.</w:t>
      </w:r>
    </w:p>
    <w:p>
      <w:pPr>
        <w:spacing w:after="90" w:line="230"/>
        <w:ind w:left="320" w:hanging="320"/>
      </w:pPr>
      <w:r>
        <w:rPr>
          <w:b/>
          <w:bCs/>
          <w:color w:val="0E2647"/>
          <w:sz w:val="15"/>
          <w:szCs w:val="15"/>
        </w:rPr>
        <w:t xml:space="preserve">[2] </w:t>
      </w:r>
      <w:r>
        <w:rPr>
          <w:sz w:val="15"/>
          <w:szCs w:val="15"/>
        </w:rPr>
        <w:t xml:space="preserve">LabKey. LIMS Inventory Management — პარტიისა და ვადის თვალყურის დევნება.</w:t>
      </w:r>
    </w:p>
    <w:p>
      <w:pPr>
        <w:spacing w:after="90" w:line="230"/>
        <w:ind w:left="320" w:hanging="320"/>
      </w:pPr>
      <w:r>
        <w:rPr>
          <w:b/>
          <w:bCs/>
          <w:color w:val="0E2647"/>
          <w:sz w:val="15"/>
          <w:szCs w:val="15"/>
        </w:rPr>
        <w:t xml:space="preserve">[3] </w:t>
      </w:r>
      <w:r>
        <w:rPr>
          <w:sz w:val="15"/>
          <w:szCs w:val="15"/>
        </w:rPr>
        <w:t xml:space="preserve">Third Wave Analytics. Key Features for LIMS Inventory Management — გაყინვის/დნობის ციკლის თვალყურის დევნება მოლეკულური რეაგენტებისთვის. 2024.</w:t>
      </w:r>
    </w:p>
    <w:p>
      <w:pPr>
        <w:spacing w:after="90" w:line="230"/>
        <w:ind w:left="320" w:hanging="320"/>
      </w:pPr>
      <w:r>
        <w:rPr>
          <w:b/>
          <w:bCs/>
          <w:color w:val="0E2647"/>
          <w:sz w:val="15"/>
          <w:szCs w:val="15"/>
        </w:rPr>
        <w:t xml:space="preserve">[4] </w:t>
      </w:r>
      <w:r>
        <w:rPr>
          <w:sz w:val="15"/>
          <w:szCs w:val="15"/>
        </w:rPr>
        <w:t xml:space="preserve">GMP Insiders. Expiry Dates For Commercial And In-House Prepared Reagents In QC Labs — მიღების-თარიღის ეტიკეტირება, ხელახალი ტესტირების პროტოკოლი, დეგრადაციის რისკი. 2025.</w:t>
      </w:r>
    </w:p>
    <w:p>
      <w:pPr>
        <w:spacing w:after="90" w:line="230"/>
        <w:ind w:left="320" w:hanging="320"/>
      </w:pPr>
      <w:r>
        <w:rPr>
          <w:b/>
          <w:bCs/>
          <w:color w:val="0E2647"/>
          <w:sz w:val="15"/>
          <w:szCs w:val="15"/>
        </w:rPr>
        <w:t xml:space="preserve">[5] </w:t>
      </w:r>
      <w:r>
        <w:rPr>
          <w:sz w:val="15"/>
          <w:szCs w:val="15"/>
        </w:rPr>
        <w:t xml:space="preserve">Fishbowl. Laboratory Inventory Management: 8 Ways to Streamline — ეტიკეტირების სტანდარტი, შევსების წერტილები, პარტიის თვალთვალადობა.</w:t>
      </w:r>
    </w:p>
    <w:p>
      <w:pPr>
        <w:spacing w:before="200"/>
      </w:pPr>
    </w:p>
    <w:p>
      <w:pPr>
        <w:pBdr>
          <w:left w:val="single" w:color="C9A227" w:sz="16" w:space="10"/>
        </w:pBdr>
        <w:shd w:fill="FFF8E7" w:val="clear"/>
        <w:spacing w:after="160" w:before="110"/>
      </w:pPr>
      <w:r>
        <w:rPr>
          <w:i/>
          <w:iCs/>
          <w:color w:val="5C4A0A"/>
          <w:sz w:val="18"/>
          <w:szCs w:val="18"/>
        </w:rPr>
        <w:t xml:space="preserve">შენიშვნა: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w:t>
      </w:r>
    </w:p>
    <w:sectPr>
      <w:headerReference w:type="default" r:id="rId7"/>
      <w:footerReference w:type="default" r:id="rId8"/>
      <w:pgSz w:w="11906" w:h="16838" w:orient="portrait"/>
      <w:pgMar w:top="900" w:right="1000" w:bottom="900" w:left="100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D8DEE8" w:sz="4"/>
      </w:pBdr>
      <w:tabs>
        <w:tab w:val="right" w:pos="9026"/>
      </w:tabs>
      <w:spacing w:before="60"/>
    </w:pPr>
    <w:r>
      <w:rPr>
        <w:color w:val="6B778C"/>
        <w:sz w:val="12"/>
        <w:szCs w:val="12"/>
      </w:rPr>
      <w:t xml:space="preserve">მომზადებულია: [ლაბორატორიის ხელმძღვანელის სახელი] · დამტკიცებულია: [დირექტორის სახელი]</w:t>
    </w:r>
    <w:r>
      <w:rPr>
        <w:sz w:val="12"/>
        <w:szCs w:val="12"/>
      </w:rPr>
      <w:t xml:space="preserve">	</w:t>
    </w:r>
    <w:r>
      <w:rPr>
        <w:color w:val="6B778C"/>
        <w:sz w:val="12"/>
        <w:szCs w:val="12"/>
      </w:rPr>
      <w:t xml:space="preserve">ძალაში: [EFFECTIVE DATE] · გვ. </w:t>
    </w:r>
    <w:r>
      <w:rPr>
        <w:color w:val="6B778C"/>
        <w:sz w:val="12"/>
        <w:szCs w:val="12"/>
      </w:rPr>
      <w:fldChar w:fldCharType="begin"/>
      <w:instrText xml:space="preserve">PAGE</w:instrText>
      <w:fldChar w:fldCharType="separate"/>
      <w:fldChar w:fldCharType="end"/>
    </w:r>
    <w:r>
      <w:rPr>
        <w:color w:val="6B778C"/>
        <w:sz w:val="12"/>
        <w:szCs w:val="12"/>
      </w:rPr>
      <w:t xml:space="preserve"> / </w:t>
    </w:r>
    <w:r>
      <w:rPr>
        <w:color w:val="6B778C"/>
        <w:sz w:val="12"/>
        <w:szCs w:val="12"/>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tbl>
    <w:tblPr>
      <w:tblW w:type="dxa" w:w="9350"/>
      <w:tblBorders>
        <w:top w:val="none" w:color="FFFFFF" w:sz="0"/>
        <w:left w:val="none" w:color="FFFFFF" w:sz="0"/>
        <w:bottom w:val="single" w:color="D8DEE8" w:sz="4"/>
        <w:right w:val="none" w:color="FFFFFF" w:sz="0"/>
        <w:insideH w:val="none" w:color="FFFFFF" w:sz="0"/>
        <w:insideV w:val="none" w:color="FFFFFF" w:sz="0"/>
      </w:tblBorders>
    </w:tblPr>
    <w:tblGrid>
      <w:gridCol w:w="900"/>
      <w:gridCol w:w="4900"/>
      <w:gridCol w:w="3550"/>
    </w:tblGrid>
    <w:tr>
      <w:tc>
        <w:tcPr>
          <w:tcW w:type="dxa" w:w="900"/>
          <w:tcMar>
            <w:top w:type="dxa" w:w="40"/>
            <w:left w:type="dxa" w:w="0"/>
            <w:bottom w:type="dxa" w:w="40"/>
            <w:right w:type="dxa" w:w="60"/>
          </w:tcMar>
          <w:vAlign w:val="center"/>
        </w:tcPr>
        <w:p>
          <w:r>
            <w:drawing>
              <wp:inline distT="0" distB="0" distL="0" distR="0">
                <wp:extent cx="304800" cy="28575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0" cstate="none"/>
                        <a:srcRect/>
                        <a:stretch>
                          <a:fillRect/>
                        </a:stretch>
                      </pic:blipFill>
                      <pic:spPr bwMode="auto">
                        <a:xfrm>
                          <a:off x="0" y="0"/>
                          <a:ext cx="304800" cy="285750"/>
                        </a:xfrm>
                        <a:prstGeom prst="rect">
                          <a:avLst/>
                        </a:prstGeom>
                      </pic:spPr>
                    </pic:pic>
                  </a:graphicData>
                </a:graphic>
              </wp:inline>
            </w:drawing>
          </w:r>
        </w:p>
      </w:tc>
      <w:tc>
        <w:tcPr>
          <w:tcW w:type="dxa" w:w="4900"/>
          <w:tcMar>
            <w:top w:type="dxa" w:w="40"/>
            <w:left w:type="dxa" w:w="0"/>
            <w:bottom w:type="dxa" w:w="40"/>
            <w:right w:type="dxa" w:w="60"/>
          </w:tcMar>
          <w:vAlign w:val="center"/>
        </w:tcPr>
        <w:p>
          <w:r>
            <w:rPr>
              <w:b/>
              <w:bCs/>
              <w:color w:val="0E2647"/>
              <w:sz w:val="13"/>
              <w:szCs w:val="13"/>
            </w:rPr>
            <w:t xml:space="preserve">[ORGANIZATION NAME]</w:t>
          </w:r>
          <w:r>
            <w:rPr>
              <w:color w:val="6B778C"/>
              <w:sz w:val="10"/>
              <w:szCs w:val="10"/>
            </w:rPr>
            <w:t xml:space="preserve">  ·  SOP-LAB-08-KA · რეაგენტების მართვა</w:t>
          </w:r>
        </w:p>
      </w:tc>
      <w:tc>
        <w:tcPr>
          <w:tcW w:type="dxa" w:w="3550"/>
          <w:tcMar>
            <w:top w:type="dxa" w:w="40"/>
            <w:left w:type="dxa" w:w="0"/>
            <w:bottom w:type="dxa" w:w="40"/>
            <w:right w:type="dxa" w:w="0"/>
          </w:tcMar>
          <w:vAlign w:val="center"/>
        </w:tcPr>
        <w:p>
          <w:pPr>
            <w:jc w:val="right"/>
          </w:pPr>
          <w:r>
            <w:rPr>
              <w:color w:val="6B778C"/>
              <w:sz w:val="12"/>
              <w:szCs w:val="12"/>
            </w:rPr>
            <w:t xml:space="preserve">გამოცემა 1.0 · დამტკიცებული</w:t>
          </w:r>
        </w:p>
      </w:tc>
    </w:tr>
  </w:tbl>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image" Target="media/681fd126cdf550e781c9e30e2a67f8bbf2b2a95d.png"/><Relationship Id="rId10"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Relationship Id="rId0" Type="http://schemas.openxmlformats.org/officeDocument/2006/relationships/image" Target="media/681fd126cdf550e781c9e30e2a67f8bbf2b2a95d.png"/></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2026-09-14T14:53:53.369Z</dcterms:created>
  <dcterms:modified xsi:type="dcterms:W3CDTF">2026-09-14T14:53:53.376Z</dcterms:modified>
</cp:coreProperties>
</file>

<file path=docProps/custom.xml><?xml version="1.0" encoding="utf-8"?>
<Properties xmlns="http://schemas.openxmlformats.org/officeDocument/2006/custom-properties" xmlns:vt="http://schemas.openxmlformats.org/officeDocument/2006/docPropsVTypes"/>
</file>