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Clinical Microbiology Testing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SOP-LAB-12-EN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Clinical Microbiology Testing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SOP-LAB-12-KA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Gram Stain — The Real Preliminary Step · 7. Culture and Susceptibility Testing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Microbiology-Specific QC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microbiology testing at [ORGANIZATION NAME] — Gram stain, culture, identification, and antimicrobial susceptibility testing — is performed to a real standard that genuinely reflects the organism present, given that microbiology QC is fundamentally different from other laboratory sections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microbiology specimen processed at [ORGANIZATION NAME], including blood cultures, wound cultures, urine cultures, and any other specimen submitted for organism identification and susceptibility testing.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AST — Antimicrobial Susceptibility Testing, determining which antibiotics are effective against an identified organism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Genotype-phenotype discordance — a real, documented phenomenon: molecular detection of a resistance gene does not always match actual phenotypic resistance behavior — phenotypic AST remains a critical component even when molecular methods are used, not a redundant step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Microbiology QC is different in kind from chemistry or hematology QC: most microbiology testing is qualitative — whether a medium grows the correct organism, whether a stain reacts properly, whether a smear is read correctly — rather than a single measured number, and this shapes every element of this SOP [1].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A real, documented failure: a positive blood culture Gram stain was read as gram-negative rods, when the organism was actually gram-positive cocci — the stain's decolorizer reagent had degraded. No single person made an obvious error; a small, upstream QC step (decolorizer verification) had been skipped, and a patient was started on the wrong antibiotic. This is exactly what Section 8's QC requirements exist to prevent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Lab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Technologist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Media and reagent QC oversight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Gram stain reading and reporting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Positive culture/critical result notification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AST interpretation and reporting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Gram Stain — The Real Preliminary Step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 Gram stain reported from a positive blood culture carries real, quantified accuracy — sensitivity around or above 90% even in a worst-case analysis — which is why it is trusted as an immediate preliminary result while full culture identification is pending, not merely a rough guess [4–5].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positive blood culture and its Gram stain result are reported to the ordering clinician as a critical result, using the same closed-loop notification process as any other critical value — not a routine result released through standard channels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documented, common interpretive error is reporting only one organism when two or more are actually present — the reader continues searching the smear even after identifying one organism, since Gram-positive organisms are generally easier to visualize and can mask a co-present Gram-negative organism [7]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Gram stain of a specimen such as sputum can also assess whether the specimen itself is suitable for culture, based on the ratio of white cells to epithelial cells present [7]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Culture and Susceptibility Testing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6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Stage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Timing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Gram stain (positive culture)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Reported immediately as a critical result [6]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Preliminary identification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Within 24 hours of positivity, per real, standard laboratory practice [8]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Full identification and AST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Within 48–72 hours from sample to final answer, using CLSI-approved methods and current CLSI M100 breakpoints [9–10]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Negative culture, final report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After 5 days of incubation with no growth [8]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Where [ORGANIZATION NAME]'s microbiology work is sent to a reference laboratory rather than performed fully in-house, these timeframes govern the reference laboratory relationship under SOP-LAB-06, and the real 48–72 hour standard is used to assess whether turnaround is genuinely acceptable, not an arbitrary benchmark [9–10].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Microbiology-Specific QC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Culture media QC — each new lot tested against known reference strains before use, confirming the medium supports correct growth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Reagent and stain QC — including verification that Gram stain reagents, particularly the decolorizer, are functioning correctly — the specific, real failure mode described in Section 4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AST QC — tested against reference organisms with known susceptibility patterns, consistent with CLSI method standards [3, 9]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Personnel competency for smear reading and culture interpretation is addressed under SOP-LAB-11, including the molecular-specific technique focus where PCR-based identification methods are used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Automated AST systems can show real variability depending on software version and card/panel used — results are interpreted with this in mind, not assumed uniformly reliable across all configurations [9]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molecular resistance gene result and a phenotypic susceptibility result that disagree are both reported, with the discordance noted — phenotypic AST is not discarded in favor of a molecular result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Gram stain to critical-result-notification time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Culture media and reagent QC completion, including decolorizer verification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Turnaround time from specimen receipt to final AST report, against the 48–72 hour benchmark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Reference Laboratory &amp; Send-Out Testing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SOP-LAB-10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Laboratory Biosafety &amp; Biohazardous Waste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SOP-LAB-11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Laboratory Personnel Competency Assessment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[LAB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Microbe Online. Quality Control in the Microbiology Laboratory: Concepts, Components, and How It All Fits — real decolorizer failure case, six QC components.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Microbe Online. Quality Control in the Microbiology Laboratory — qualitative vs. quantitative QC distinction.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PMC. Pooled Antibiotic Susceptibility Testing Performs Within CLSI Standards — genotype-phenotype discordance.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Journal of Clinical Microbiology. First Notification of Positive Blood Cultures and the High Accuracy of the Gram Stain Report.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PMC. First Notification of Positive Blood Cultures — sensitivity data.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MLabs (University of Michigan). Blood Culture, Bacteria and Yeast — critical result classification, timing benchmarks.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Journal of Laboratory Physicians / SSJM. Laboratory Perspective of Gram Staining and its Significance — multi-organism detection error, specimen quality assessment. 2014.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[8] </w:t>
      </w:r>
      <w:r>
        <w:rPr>
          <w:sz w:val="15"/>
          <w:szCs w:val="15"/>
        </w:rPr>
        <w:t xml:space="preserve">MLabs (University of Michigan). Blood Culture, Bacteria and Yeast — preliminary result and negative culture timing.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[9] </w:t>
      </w:r>
      <w:r>
        <w:rPr>
          <w:sz w:val="15"/>
          <w:szCs w:val="15"/>
        </w:rPr>
        <w:t xml:space="preserve">Wenzler et al. Antimicrobial susceptibility testing: An updated primer for clinicians — CLSI M02/M07, automated system variability. Pharmacotherapy,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[10] </w:t>
      </w:r>
      <w:r>
        <w:rPr>
          <w:sz w:val="15"/>
          <w:szCs w:val="15"/>
        </w:rPr>
        <w:t xml:space="preserve">Rapid Phenotypic Antibiotic Susceptibility Profiling. PMC — CLSI-approved 48–72 hour AST turnaround benchmark.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[LAB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SOP-LAB-12-EN · Microbiology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2026-09-14T15:15:24.612Z</dcterms:created>
  <dcterms:modified xsi:type="dcterms:W3CDTF">2026-09-14T15:15:24.623Z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