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6"/>
          <w:szCs w:val="26"/>
        </w:rPr>
        <w:t xml:space="preserve">მეთოდის ვალიდაცია და ვერიფიკაცია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სტანდარტული ოპერაციული პროცედურა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ვამტკიცებ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[ORGANIZATION NAME]-ს დირექტორი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თარიღი: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დოკუმენტის კოდი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SOP-LAB-15-KA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დასახელება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მეთოდის ვალიდაცია და ვერიფიკაცია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გამოცემა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1-ლი გამოცემა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ეგზ.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ძალაში შესვლის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შემდეგი გადახედვის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ორგანიზაცია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საქართველო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სარჩევი</w:t>
      </w:r>
    </w:p>
    <w:p>
      <w:pPr>
        <w:spacing w:after="110" w:line="260"/>
      </w:pPr>
      <w:r>
        <w:rPr>
          <w:sz w:val="20"/>
          <w:szCs w:val="20"/>
        </w:rPr>
        <w:t xml:space="preserve">1. მიზანი · 2. მოქმედების სფერო · 3. განმარტებები და შემოკლებები</w:t>
      </w:r>
    </w:p>
    <w:p>
      <w:pPr>
        <w:spacing w:after="110" w:line="260"/>
      </w:pPr>
      <w:r>
        <w:rPr>
          <w:sz w:val="20"/>
          <w:szCs w:val="20"/>
        </w:rPr>
        <w:t xml:space="preserve">4. ზოგადი დებულებები · 5. პასუხისმგებლობების განაწილება</w:t>
      </w:r>
    </w:p>
    <w:p>
      <w:pPr>
        <w:spacing w:after="110" w:line="260"/>
      </w:pPr>
      <w:r>
        <w:rPr>
          <w:sz w:val="20"/>
          <w:szCs w:val="20"/>
        </w:rPr>
        <w:t xml:space="preserve">6. რა საჭიროებს ვალიდაციას — გამონაკლისების გარეშე · 7. ვალიდაციის პარამეტრები</w:t>
      </w:r>
    </w:p>
    <w:p>
      <w:pPr>
        <w:spacing w:after="110" w:line="260"/>
      </w:pPr>
      <w:r>
        <w:rPr>
          <w:sz w:val="20"/>
          <w:szCs w:val="20"/>
        </w:rPr>
        <w:t xml:space="preserve">8. დამტკიცება და შენახვა · 9. განსაკუთრებული პირობები</w:t>
      </w:r>
    </w:p>
    <w:p>
      <w:pPr>
        <w:spacing w:after="110" w:line="260"/>
      </w:pPr>
      <w:r>
        <w:rPr>
          <w:sz w:val="20"/>
          <w:szCs w:val="20"/>
        </w:rPr>
        <w:t xml:space="preserve">10. პროცესის ეფექტურობის მაჩვენებლები (KPI) · 11. თანმხლები დოკუმენტაცია</w:t>
      </w:r>
    </w:p>
    <w:p>
      <w:pPr>
        <w:spacing w:after="110" w:line="260"/>
      </w:pPr>
      <w:r>
        <w:rPr>
          <w:sz w:val="20"/>
          <w:szCs w:val="20"/>
        </w:rPr>
        <w:t xml:space="preserve">12. შეთანხმების ფურცელი · წყაროები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მიზანი</w:t>
      </w:r>
    </w:p>
    <w:p>
      <w:pPr>
        <w:spacing w:after="110" w:line="260"/>
      </w:pPr>
      <w:r>
        <w:rPr>
          <w:sz w:val="20"/>
          <w:szCs w:val="20"/>
        </w:rPr>
        <w:t xml:space="preserve">[ORGANIZATION NAME]-ში ყოველი არა-გათავისუფლებული ტესტის, მეთოდის ან ინსტრუმენტის პაციენტის ტესტირებაში გამოყენებამდე ვალიდაციის ან ვერიფიკაციის უზრუნველყოფა, გამონაკლისების გარეშე, დაფუძნებული იმაზე, რამდენ ხანს იყო მეთოდი ხელმისაწვდომი ან ადრე გამოყენებული სხვაგან [1].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მოქმედების სფერო</w:t>
      </w:r>
    </w:p>
    <w:p>
      <w:pPr>
        <w:spacing w:after="110" w:line="260"/>
      </w:pPr>
      <w:r>
        <w:rPr>
          <w:sz w:val="20"/>
          <w:szCs w:val="20"/>
        </w:rPr>
        <w:t xml:space="preserve">წინამდებარე პროცედურა ვრცელდება ყოველ არა-გათავისუფლებულ ტესტზე, მეთოდზე ან ინსტრუმენტის სისტემაზე, გამოყენებულს [ORGANIZATION NAME]-ში, იმავე მარკისა და მოდელის ახალი ინსტრუმენტის ჩათვლით, უკვე გამოყენებულის მსგავსად, და ნებისმიერი დროებითი ჩანაცვლების (ნასესხები) ინსტრუმენტის ჩათვლით.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განმარტებები და შემოკლებები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ვალიდაცია — შესრულების მახასიათებლების დადგენა მეთოდისთვის, ადრე გარე ორგანოს მიერ არავალიდირებული (მაგ., ლაბორატორიაში-შემუშავებული ტესტი)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ვერიფიკაცია — დადასტურება, რომ მეთოდი, უკვე ვალიდირებული მისი მწარმოებლის მიერ (მაგ., FDA-ს მიერ დამტკიცებული ნაკრები), მუშაობს, როგორც განაცხადებულია, ამ კონკრეტულ ლაბორატორიაში, ამ კონკრეტულ აღჭურვილობაზე [1–2]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ზოგადი დებულებები</w:t>
      </w:r>
    </w:p>
    <w:p>
      <w:pPr>
        <w:pBdr>
          <w:left w:val="single" w:color="C0392B" w:sz="16" w:space="10"/>
        </w:pBdr>
        <w:shd w:fill="FDECEC" w:val="clear"/>
        <w:spacing w:after="160" w:before="110"/>
      </w:pPr>
      <w:r>
        <w:rPr>
          <w:b/>
          <w:bCs/>
          <w:i/>
          <w:iCs/>
          <w:color w:val="7B241C"/>
          <w:sz w:val="18"/>
          <w:szCs w:val="18"/>
        </w:rPr>
        <w:t xml:space="preserve">არ არსებობს გამონაკლისი ტესტის ვალიდაციისთვის ან ვერიფიკაციისთვის, დაფუძნებული იმაზე, როდის შემოიღო ის ლაბორატორიამ — ეს რეალური მოთხოვნა ვრცელდება, რამდენ ხანსაც არ უნდა იყოს მეთოდი გამოყენებული, იმავე მარკისა და მოდელის ინსტრუმენტის ჩათვლით, უკვე ვალიდირებულის სხვაგან, და დროებითი ჩანაცვლების (ნასესხები) ინსტრუმენტის ჩათვლით [1].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პასუხისმგებლობების განაწილება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დავალება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სამედიცინო 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ლაბორატორიის ხელმძღვ.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ტექნოლოგი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ინსტრუქციის დამტკიცება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საბოლოო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ვალიდაციის/ვერიფიკაციის გეგმის დიზაინი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შეთანხმებული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ვალიდაციის კვლევის ჩატარება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საბოლოო ანგარიშის მიმოხილვა და დამტკიცება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რა საჭიროებს ვალიდაციას — გამონაკლისების გარეშე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ახალი, ლაბორატორიაში-შემუშავებული ტესტი (LDT)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ახალი FDA-ს მიერ დამტკიცებული ნაკრები ან მეთოდი, ვერიფიცირებული ამ ლაბორატორიაში გამოსაყენებლად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ახალი ინსტრუმენტი, არსებულის იმავე მარკისა და მოდელის ჩათვლით [1]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დროებითი ჩანაცვლების (ნასესხები) ინსტრუმენტი — იგივე რეალური მოთხოვნა ვრცელდება, არა შემცირებული ან გათავისუფლებული პროცესი [1]</w:t>
      </w: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ეს მოთხოვნა არ ვრცელდება ტრადიციულ მეთოდებზე, როგორიცაა ხელით მიკროსკოპია, ჩვეულებრივი მიკრობიოლოგიური კულტურები, ჩვეულებრივი ციტოგენეტიკა და ხელით ჰემატოლოგია და იმუნოლოგიის ტესტები — რეალური, კონკრეტული, შეზღუდული გამონაკლისი, არა ზოგადი გათავისუფლება ძველი მეთოდებისთვის [1].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ვალიდაციის პარამეტრები</w:t>
      </w:r>
    </w:p>
    <w:p>
      <w:pPr>
        <w:spacing w:after="110" w:line="260"/>
      </w:pPr>
      <w:r>
        <w:rPr>
          <w:sz w:val="20"/>
          <w:szCs w:val="20"/>
        </w:rPr>
        <w:t xml:space="preserve">ვალიდაციის ან ვერიფიკაციის კვლევა მიმართავს მეთოდისთვის გამოსაყენებელ პარამეტრებს [2–3]:</w:t>
      </w:r>
    </w:p>
    <w:tr>
      <w:tc>
        <w:tcPr>
          <w:tcW w:type="dxa" w:w="9000"/>
          <w:tcMar>
            <w:top w:type="dxa" w:w="70"/>
            <w:left w:type="dxa" w:w="100"/>
            <w:bottom w:type="dxa" w:w="70"/>
            <w:right w:type="dxa" w:w="90"/>
          </w:tcMar>
          <w:vAlign w:val="center"/>
        </w:tcPr>
        <w:p>
          <w:r>
            <w:rPr>
              <w:sz w:val="15"/>
              <w:szCs w:val="15"/>
            </w:rPr>
            <w:t xml:space="preserve">სიზუსტე (განმეორებადობა და რეპროდუცირებადობა)</w:t>
          </w:r>
        </w:p>
      </w:tc>
    </w:tr>
    <w:tr>
      <w:tc>
        <w:tcPr>
          <w:tcW w:type="dxa" w:w="9000"/>
          <w:tcMar>
            <w:top w:type="dxa" w:w="70"/>
            <w:left w:type="dxa" w:w="100"/>
            <w:bottom w:type="dxa" w:w="70"/>
            <w:right w:type="dxa" w:w="90"/>
          </w:tcMar>
          <w:vAlign w:val="center"/>
        </w:tcPr>
        <w:p>
          <w:r>
            <w:rPr>
              <w:sz w:val="15"/>
              <w:szCs w:val="15"/>
            </w:rPr>
            <w:t xml:space="preserve">სიზუსტე/სისწორე (შეთანხმება ცნობილ საცნობარო ან შედარების მეთოდთან)</w:t>
          </w:r>
        </w:p>
      </w:tc>
    </w:tr>
    <w:tr>
      <w:tc>
        <w:tcPr>
          <w:tcW w:type="dxa" w:w="9000"/>
          <w:tcMar>
            <w:top w:type="dxa" w:w="70"/>
            <w:left w:type="dxa" w:w="100"/>
            <w:bottom w:type="dxa" w:w="70"/>
            <w:right w:type="dxa" w:w="90"/>
          </w:tcMar>
          <w:vAlign w:val="center"/>
        </w:tcPr>
        <w:p>
          <w:r>
            <w:rPr>
              <w:sz w:val="15"/>
              <w:szCs w:val="15"/>
            </w:rPr>
            <w:t xml:space="preserve">ანალიტიკური მგრძნობელობა და სპეციფიკურობა, და კლინიკურად გამოსაყენებელი შემთხვევებში, კლინიკური მგრძნობელობა და სპეციფიკურობა</w:t>
          </w:r>
        </w:p>
      </w:tc>
    </w:tr>
    <w:tr>
      <w:tc>
        <w:tcPr>
          <w:tcW w:type="dxa" w:w="9000"/>
          <w:tcMar>
            <w:top w:type="dxa" w:w="70"/>
            <w:left w:type="dxa" w:w="100"/>
            <w:bottom w:type="dxa" w:w="70"/>
            <w:right w:type="dxa" w:w="90"/>
          </w:tcMar>
          <w:vAlign w:val="center"/>
        </w:tcPr>
        <w:p>
          <w:r>
            <w:rPr>
              <w:sz w:val="15"/>
              <w:szCs w:val="15"/>
            </w:rPr>
            <w:t xml:space="preserve">ანგარიშვალდებული დიაპაზონი და ხაზოვნება</w:t>
          </w:r>
        </w:p>
      </w:tc>
    </w:tr>
    <w:tr>
      <w:tc>
        <w:tcPr>
          <w:tcW w:type="dxa" w:w="9000"/>
          <w:tcMar>
            <w:top w:type="dxa" w:w="70"/>
            <w:left w:type="dxa" w:w="100"/>
            <w:bottom w:type="dxa" w:w="70"/>
            <w:right w:type="dxa" w:w="90"/>
          </w:tcMar>
          <w:vAlign w:val="center"/>
        </w:tcPr>
        <w:p>
          <w:r>
            <w:rPr>
              <w:sz w:val="15"/>
              <w:szCs w:val="15"/>
            </w:rPr>
            <w:t xml:space="preserve">საცნობარო ინტერვალები, ვერიფიცირებული ან დადგენილი [ORGANIZATION NAME]-ის საკუთარი პაციენტთა პოპულაციისთვის</w:t>
          </w:r>
        </w:p>
      </w:tc>
    </w:tr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დამტკიცება და შენახვა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1.  </w:t>
      </w:r>
      <w:r>
        <w:rPr>
          <w:sz w:val="19"/>
          <w:szCs w:val="19"/>
        </w:rPr>
        <w:t xml:space="preserve">ქოლგისებრი ვალიდაციის SOP განსაზღვრავს ზოგად პროცესს, მორგებულს ყოველი კონკრეტული ვალიდირებადი ტესტისთვის [4]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2.  </w:t>
      </w:r>
      <w:r>
        <w:rPr>
          <w:sz w:val="19"/>
          <w:szCs w:val="19"/>
        </w:rPr>
        <w:t xml:space="preserve">შედეგები აკუმულირდება ვალიდაციის ანგარიშში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3.  </w:t>
      </w:r>
      <w:r>
        <w:rPr>
          <w:sz w:val="19"/>
          <w:szCs w:val="19"/>
        </w:rPr>
        <w:t xml:space="preserve">სამედიცინო დირექტორი განიხილავს და ამტკიცებს ანგარიშს, სანამ ტესტი დაემატება აქტიურ ტესტების მენიუს (SOP-LAB-14) [4]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4.  </w:t>
      </w:r>
      <w:r>
        <w:rPr>
          <w:sz w:val="19"/>
          <w:szCs w:val="19"/>
        </w:rPr>
        <w:t xml:space="preserve">ვალიდაციის ჩანაწერები ინახება იმდენ ხანს, რამდენადაც მეთოდი გამოიყენება, და მინიმუმ 2 წელი მისი გაუქმების შემდეგ — არა მხოლოდ შემდეგ გადახედვის ციკლამდე [1]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განსაკუთრებული პირობები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გათავისუფლებული ტესტირება მიჰყვება მწარმოებლის ინსტრუქციებს ისე, როგორც დაწერილია, და არ საჭიროებს იმავე ვალიდაციის კვლევას, მაგრამ არ არის გათავისუფლებული კომპეტენციისა და QC მოთხოვნებისგან სხვა SOP-ების ქვეშ [1]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თუ გამოიყენება ლაბორატორიაში-შემუშავებული ტესტი, რეალური აშშ-ის მარეგულირებელი უარის ენა შედის ანგარიშში, სადაც გამოსაყენებელია, აღნიშნავს, რომ ტესტი შემუშავებული იყო და მისი შესრულების მახასიათებლები დადგენილი იყო [ORGANIZATION NAME]-ის მიერ, არ არის FDA-ს მიერ გასუფთავებული ან დამტკიცებული, და გამოიყენება კლინიკური მიზნებისთვის CLIA მაღალი-სირთულის ავტორიზაციის ქვეშ [1]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პროცესის ეფექტურობის მაჩვენებლები (KPI)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ყოველი აქტიური ტესტების მენიუს ელემენტი მიმდინარე, ხელმისაწვდომი ვალიდაციის ანგარიშით (მიზანი: 100%)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ვალიდაცია დასრულებული ახალი ინსტრუმენტის ან ნასესხების პაციენტის ტესტირებაში შესვლამდე, ნულოვანი გამონაკლისით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11. თანმხლები დოკუმენტაცია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აღნიშვნა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დასახელება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SOP-LAB-14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ტესტების მენიუ და ტესტირების სფერო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SOP-LAB-07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ლაბორატორიული აღჭურვილობის კალიბრაცია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12. შეთანხმების ფურცელი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როლი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თარიღი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ხელმოწერა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შემუშავებულია: [ლაბორატორიის ხელმძღვანელის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შეთანხმებულია: [სამედიცინო დირექტორის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წყაროები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CAP. Test Method Validation and Verification — გამონაკლისის-გარეშე მოთხოვნა, შენახვის ვადა, ტრადიციული-მეთოდის გამონაკლისი.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USPTO. Systems and methods for laboratory assay validation or verification — CAP/CLIA/ISO 15189 სფერო.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Accountable HQ. Clinical Laboratory Configuration Management — ვალიდაციის პარამეტრები.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Tear Based Sample Collection (clinicaltrials.gov პროტოკოლი). Validation process for an LDT — ქოლგისებრი SOP, სამედიცინო დირექტორის დამტკიცება, LDT უარი.</w:t>
      </w:r>
    </w:p>
    <w:p>
      <w:pPr>
        <w:spacing w:before="200"/>
      </w:pP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შენიშვნა: წინამდებარე დოკუმენტის ქართული ტექსტი საჭიროებს კლინიკის ეპიდემიოლოგის ან ხარისხის მენეჯერის მიერ ტერმინოლოგიური განხილვას ოფიციალურ გამოყენებამდე.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მომზადებულია: [ლაბორატორიის ხელმძღვანელის სახელი] · დამტკიცებულია: [სამედიცინო დირექტორის სახელი]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ძალაში: [EFFECTIVE DATE] · გვ.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/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9"/>
              <w:szCs w:val="9"/>
            </w:rPr>
            <w:t xml:space="preserve">  ·  SOP-LAB-15-KA · მეთოდის ვალიდაცია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გამოცემა 1.0 · დამტკიცებული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2026-09-14T15:35:28.630Z</dcterms:created>
  <dcterms:modified xsi:type="dcterms:W3CDTF">2026-09-14T15:35:28.633Z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