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8"/>
          <w:szCs w:val="28"/>
        </w:rPr>
        <w:t xml:space="preserve">General Informed Consent</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SOP-PR-01-EN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General Informed Consent</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SOP-PR-01-KA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The Five Elements of Valid Consent · 7. The Consent Process</w:t>
      </w:r>
    </w:p>
    <w:p>
      <w:pPr>
        <w:spacing w:after="110" w:line="260"/>
      </w:pPr>
      <w:r>
        <w:rPr>
          <w:b w:val="false"/>
          <w:bCs w:val="false"/>
          <w:i w:val="false"/>
          <w:iCs w:val="false"/>
          <w:sz w:val="20"/>
          <w:szCs w:val="20"/>
        </w:rPr>
        <w:t xml:space="preserve">8. Refusal and Withdrawal · 9. The Real, Documented Gap</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patient at [ORGANIZATION NAME] gives genuinely informed, voluntary consent before any treatment or procedure, consistent with the established five-element standard for valid informed consent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general consultation and treatment consent at [ORGANIZATION NAME]. It is the shared foundation that oncology-specific consent (Tier 5) and pediatric consent and guardian authorization (Tier 6) both build upon — neither replaces this procedure; both add specialty-specific requirements on top of it.</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Capacity — the patient's mental and legal ability to understand the information and make the decision at that specific moment [2]</w:t>
      </w:r>
    </w:p>
    <w:p>
      <w:pPr>
        <w:spacing w:after="70" w:line="245"/>
        <w:ind w:left="260" w:hanging="180"/>
      </w:pPr>
      <w:r>
        <w:rPr>
          <w:sz w:val="19"/>
          <w:szCs w:val="19"/>
        </w:rPr>
        <w:t xml:space="preserve">•  Therapeutic privilege — a very rare, narrowly justified exception where full disclosure would itself cause serious, documented psychological harm [3]</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Informed consent is a communication process between clinician and patient, not merely a signature on a form [4]. Without all five elements genuinely present, consent is legally and ethically incomplete regardless of whether a document was signed [2].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Physician</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Consent form design/review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Conducting the consent conversation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Documenting consent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The Five Elements of Valid Consent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6800"/>
      </w:tblGrid>
      <w:tr>
        <w:tc>
          <w:tcPr>
            <w:shd w:fill="0E2647" w:val="clear"/>
            <w:tcMar>
              <w:top w:type="dxa" w:w="80"/>
              <w:left w:type="dxa" w:w="100"/>
              <w:bottom w:type="dxa" w:w="80"/>
              <w:right w:type="dxa" w:w="80"/>
            </w:tcMar>
          </w:tcPr>
          <w:p>
            <w:r>
              <w:rPr>
                <w:b/>
                <w:bCs/>
                <w:color w:val="FFFFFF"/>
                <w:sz w:val="14"/>
                <w:szCs w:val="14"/>
              </w:rPr>
              <w:t xml:space="preserve">Element</w:t>
            </w:r>
          </w:p>
        </w:tc>
        <w:tc>
          <w:tcPr>
            <w:shd w:fill="0E2647" w:val="clear"/>
            <w:tcMar>
              <w:top w:type="dxa" w:w="80"/>
              <w:left w:type="dxa" w:w="100"/>
              <w:bottom w:type="dxa" w:w="80"/>
              <w:right w:type="dxa" w:w="80"/>
            </w:tcMar>
          </w:tcPr>
          <w:p>
            <w:r>
              <w:rPr>
                <w:b/>
                <w:bCs/>
                <w:color w:val="FFFFFF"/>
                <w:sz w:val="14"/>
                <w:szCs w:val="14"/>
              </w:rPr>
              <w:t xml:space="preserve">What It Requires</w:t>
            </w:r>
          </w:p>
        </w:tc>
      </w:tr>
      <w:tr>
        <w:tc>
          <w:tcPr>
            <w:tcW w:type="dxa" w:w="2200"/>
            <w:tcMar>
              <w:top w:type="dxa" w:w="80"/>
              <w:left w:type="dxa" w:w="100"/>
              <w:bottom w:type="dxa" w:w="80"/>
              <w:right w:type="dxa" w:w="80"/>
            </w:tcMar>
            <w:vAlign w:val="center"/>
          </w:tcPr>
          <w:p>
            <w:r>
              <w:rPr>
                <w:b/>
                <w:bCs/>
                <w:sz w:val="15"/>
                <w:szCs w:val="15"/>
              </w:rPr>
              <w:t xml:space="preserve">Disclosure</w:t>
            </w:r>
          </w:p>
        </w:tc>
        <w:tc>
          <w:tcPr>
            <w:tcW w:type="dxa" w:w="6800"/>
            <w:tcMar>
              <w:top w:type="dxa" w:w="80"/>
              <w:left w:type="dxa" w:w="100"/>
              <w:bottom w:type="dxa" w:w="80"/>
              <w:right w:type="dxa" w:w="80"/>
            </w:tcMar>
            <w:vAlign w:val="center"/>
          </w:tcPr>
          <w:p>
            <w:r>
              <w:rPr>
                <w:sz w:val="14"/>
                <w:szCs w:val="14"/>
              </w:rPr>
              <w:t xml:space="preserve">All material information about the procedure, diagnosis, risks, benefits, and alternatives — including the risks, benefits, and alternatives of declining treatment [2, 5]</w:t>
            </w:r>
          </w:p>
        </w:tc>
      </w:tr>
      <w:tr>
        <w:tc>
          <w:tcPr>
            <w:tcW w:type="dxa" w:w="2200"/>
            <w:tcMar>
              <w:top w:type="dxa" w:w="80"/>
              <w:left w:type="dxa" w:w="100"/>
              <w:bottom w:type="dxa" w:w="80"/>
              <w:right w:type="dxa" w:w="80"/>
            </w:tcMar>
            <w:vAlign w:val="center"/>
          </w:tcPr>
          <w:p>
            <w:r>
              <w:rPr>
                <w:b/>
                <w:bCs/>
                <w:sz w:val="15"/>
                <w:szCs w:val="15"/>
              </w:rPr>
              <w:t xml:space="preserve">Capacity</w:t>
            </w:r>
          </w:p>
        </w:tc>
        <w:tc>
          <w:tcPr>
            <w:tcW w:type="dxa" w:w="6800"/>
            <w:tcMar>
              <w:top w:type="dxa" w:w="80"/>
              <w:left w:type="dxa" w:w="100"/>
              <w:bottom w:type="dxa" w:w="80"/>
              <w:right w:type="dxa" w:w="80"/>
            </w:tcMar>
            <w:vAlign w:val="center"/>
          </w:tcPr>
          <w:p>
            <w:r>
              <w:rPr>
                <w:sz w:val="14"/>
                <w:szCs w:val="14"/>
              </w:rPr>
              <w:t xml:space="preserve">The patient's genuine mental and legal ability to understand and decide, at that specific moment [2]</w:t>
            </w:r>
          </w:p>
        </w:tc>
      </w:tr>
      <w:tr>
        <w:tc>
          <w:tcPr>
            <w:tcW w:type="dxa" w:w="2200"/>
            <w:tcMar>
              <w:top w:type="dxa" w:w="80"/>
              <w:left w:type="dxa" w:w="100"/>
              <w:bottom w:type="dxa" w:w="80"/>
              <w:right w:type="dxa" w:w="80"/>
            </w:tcMar>
            <w:vAlign w:val="center"/>
          </w:tcPr>
          <w:p>
            <w:r>
              <w:rPr>
                <w:b/>
                <w:bCs/>
                <w:sz w:val="15"/>
                <w:szCs w:val="15"/>
              </w:rPr>
              <w:t xml:space="preserve">Understanding</w:t>
            </w:r>
          </w:p>
        </w:tc>
        <w:tc>
          <w:tcPr>
            <w:tcW w:type="dxa" w:w="6800"/>
            <w:tcMar>
              <w:top w:type="dxa" w:w="80"/>
              <w:left w:type="dxa" w:w="100"/>
              <w:bottom w:type="dxa" w:w="80"/>
              <w:right w:type="dxa" w:w="80"/>
            </w:tcMar>
            <w:vAlign w:val="center"/>
          </w:tcPr>
          <w:p>
            <w:r>
              <w:rPr>
                <w:sz w:val="14"/>
                <w:szCs w:val="14"/>
              </w:rPr>
              <w:t xml:space="preserve">The patient genuinely comprehends the information, in language suited to their actual comprehension — not merely hears it [2, 4]</w:t>
            </w:r>
          </w:p>
        </w:tc>
      </w:tr>
      <w:tr>
        <w:tc>
          <w:tcPr>
            <w:tcW w:type="dxa" w:w="2200"/>
            <w:tcMar>
              <w:top w:type="dxa" w:w="80"/>
              <w:left w:type="dxa" w:w="100"/>
              <w:bottom w:type="dxa" w:w="80"/>
              <w:right w:type="dxa" w:w="80"/>
            </w:tcMar>
            <w:vAlign w:val="center"/>
          </w:tcPr>
          <w:p>
            <w:r>
              <w:rPr>
                <w:b/>
                <w:bCs/>
                <w:sz w:val="15"/>
                <w:szCs w:val="15"/>
              </w:rPr>
              <w:t xml:space="preserve">Voluntariness</w:t>
            </w:r>
          </w:p>
        </w:tc>
        <w:tc>
          <w:tcPr>
            <w:tcW w:type="dxa" w:w="6800"/>
            <w:tcMar>
              <w:top w:type="dxa" w:w="80"/>
              <w:left w:type="dxa" w:w="100"/>
              <w:bottom w:type="dxa" w:w="80"/>
              <w:right w:type="dxa" w:w="80"/>
            </w:tcMar>
            <w:vAlign w:val="center"/>
          </w:tcPr>
          <w:p>
            <w:r>
              <w:rPr>
                <w:sz w:val="14"/>
                <w:szCs w:val="14"/>
              </w:rPr>
              <w:t xml:space="preserve">The decision is free from coercion, pressure, or undue influence [2]</w:t>
            </w:r>
          </w:p>
        </w:tc>
      </w:tr>
      <w:tr>
        <w:tc>
          <w:tcPr>
            <w:tcW w:type="dxa" w:w="2200"/>
            <w:tcMar>
              <w:top w:type="dxa" w:w="80"/>
              <w:left w:type="dxa" w:w="100"/>
              <w:bottom w:type="dxa" w:w="80"/>
              <w:right w:type="dxa" w:w="80"/>
            </w:tcMar>
            <w:vAlign w:val="center"/>
          </w:tcPr>
          <w:p>
            <w:r>
              <w:rPr>
                <w:b/>
                <w:bCs/>
                <w:sz w:val="15"/>
                <w:szCs w:val="15"/>
              </w:rPr>
              <w:t xml:space="preserve">Authorization</w:t>
            </w:r>
          </w:p>
        </w:tc>
        <w:tc>
          <w:tcPr>
            <w:tcW w:type="dxa" w:w="6800"/>
            <w:tcMar>
              <w:top w:type="dxa" w:w="80"/>
              <w:left w:type="dxa" w:w="100"/>
              <w:bottom w:type="dxa" w:w="80"/>
              <w:right w:type="dxa" w:w="80"/>
            </w:tcMar>
            <w:vAlign w:val="center"/>
          </w:tcPr>
          <w:p>
            <w:r>
              <w:rPr>
                <w:sz w:val="14"/>
                <w:szCs w:val="14"/>
              </w:rPr>
              <w:t xml:space="preserve">The patient actively agrees, verbally or in writing, to proceed [2]</w:t>
            </w:r>
          </w:p>
        </w:tc>
      </w:tr>
    </w:tbl>
    <w:p>
      <w:pPr>
        <w:pBdr>
          <w:left w:val="single" w:color="C9A227" w:sz="16" w:space="10"/>
        </w:pBdr>
        <w:shd w:fill="FFF8E7" w:val="clear"/>
        <w:spacing w:after="160" w:before="110"/>
      </w:pPr>
      <w:r>
        <w:rPr>
          <w:i/>
          <w:iCs/>
          <w:color w:val="5C4A0A"/>
          <w:sz w:val="18"/>
          <w:szCs w:val="18"/>
        </w:rPr>
        <w:t xml:space="preserve">All five elements must genuinely be present. A signed form with any one element missing is not valid consent — it is a document that looks like consent [2].</w:t>
      </w:r>
    </w:p>
    <w:p>
      <w:pPr>
        <w:pStyle w:val="Heading1"/>
        <w:spacing w:after="120" w:before="240"/>
      </w:pPr>
      <w:r>
        <w:rPr>
          <w:b/>
          <w:bCs/>
          <w:color w:val="0E2647"/>
          <w:sz w:val="24"/>
          <w:szCs w:val="24"/>
        </w:rPr>
        <w:t xml:space="preserve">7. The Consent Process</w:t>
      </w:r>
    </w:p>
    <w:p>
      <w:pPr>
        <w:spacing w:after="90" w:line="255"/>
        <w:ind w:left="340" w:hanging="340"/>
      </w:pPr>
      <w:r>
        <w:rPr>
          <w:b/>
          <w:bCs/>
          <w:color w:val="0E2647"/>
          <w:sz w:val="19"/>
          <w:szCs w:val="19"/>
        </w:rPr>
        <w:t xml:space="preserve">Step 1.  </w:t>
      </w:r>
      <w:r>
        <w:rPr>
          <w:sz w:val="19"/>
          <w:szCs w:val="19"/>
        </w:rPr>
        <w:t xml:space="preserve">Assess the patient's capacity to understand and decide</w:t>
      </w:r>
    </w:p>
    <w:p>
      <w:pPr>
        <w:spacing w:after="90" w:line="255"/>
        <w:ind w:left="340" w:hanging="340"/>
      </w:pPr>
      <w:r>
        <w:rPr>
          <w:b/>
          <w:bCs/>
          <w:color w:val="0E2647"/>
          <w:sz w:val="19"/>
          <w:szCs w:val="19"/>
        </w:rPr>
        <w:t xml:space="preserve">Step 2.  </w:t>
      </w:r>
      <w:r>
        <w:rPr>
          <w:sz w:val="19"/>
          <w:szCs w:val="19"/>
        </w:rPr>
        <w:t xml:space="preserve">Discuss the diagnosis, and the risks, benefits, and alternatives of the proposed treatment — including the risks, benefits, and alternatives of declining it [5]</w:t>
      </w:r>
    </w:p>
    <w:p>
      <w:pPr>
        <w:spacing w:after="90" w:line="255"/>
        <w:ind w:left="340" w:hanging="340"/>
      </w:pPr>
      <w:r>
        <w:rPr>
          <w:b/>
          <w:bCs/>
          <w:color w:val="0E2647"/>
          <w:sz w:val="19"/>
          <w:szCs w:val="19"/>
        </w:rPr>
        <w:t xml:space="preserve">Step 3.  </w:t>
      </w:r>
      <w:r>
        <w:rPr>
          <w:sz w:val="19"/>
          <w:szCs w:val="19"/>
        </w:rPr>
        <w:t xml:space="preserve">Confirm the patient's genuine understanding, not merely their silence or nodding, and obtain their consent or refusal</w:t>
      </w:r>
    </w:p>
    <w:p>
      <w:pPr>
        <w:spacing w:after="90" w:line="255"/>
        <w:ind w:left="340" w:hanging="340"/>
      </w:pPr>
      <w:r>
        <w:rPr>
          <w:b/>
          <w:bCs/>
          <w:color w:val="0E2647"/>
          <w:sz w:val="19"/>
          <w:szCs w:val="19"/>
        </w:rPr>
        <w:t xml:space="preserve">Step 4.  </w:t>
      </w:r>
      <w:r>
        <w:rPr>
          <w:sz w:val="19"/>
          <w:szCs w:val="19"/>
        </w:rPr>
        <w:t xml:space="preserve">Document the consent conversation itself, not only its outcome, and have the patient sign the consent form</w:t>
      </w:r>
    </w:p>
    <w:p>
      <w:pPr>
        <w:pStyle w:val="Heading1"/>
        <w:spacing w:after="120" w:before="240"/>
      </w:pPr>
      <w:r>
        <w:rPr>
          <w:b/>
          <w:bCs/>
          <w:color w:val="0E2647"/>
          <w:sz w:val="24"/>
          <w:szCs w:val="24"/>
        </w:rPr>
        <w:t xml:space="preserve">8. Refusal and Withdrawal</w:t>
      </w:r>
    </w:p>
    <w:p>
      <w:pPr>
        <w:spacing w:after="110" w:line="260"/>
      </w:pPr>
      <w:r>
        <w:rPr>
          <w:b w:val="false"/>
          <w:bCs w:val="false"/>
          <w:i w:val="false"/>
          <w:iCs w:val="false"/>
          <w:sz w:val="20"/>
          <w:szCs w:val="20"/>
        </w:rPr>
        <w:t xml:space="preserve">A patient has the right to refuse treatment, and to withdraw consent at any point during treatment, even after it has begun — this right is not exhausted once treatment starts [4, 6]. A refusal is documented with the same care as a consent, including confirmation that the patient understood the risks of declining.</w:t>
      </w:r>
    </w:p>
    <w:p>
      <w:pPr>
        <w:pStyle w:val="Heading1"/>
        <w:spacing w:after="120" w:before="240"/>
      </w:pPr>
      <w:r>
        <w:rPr>
          <w:b/>
          <w:bCs/>
          <w:color w:val="0E2647"/>
          <w:sz w:val="24"/>
          <w:szCs w:val="24"/>
        </w:rPr>
        <w:t xml:space="preserve">9. The Real, Documented Gap</w:t>
      </w:r>
    </w:p>
    <w:p>
      <w:pPr>
        <w:spacing w:after="110" w:line="260"/>
      </w:pPr>
      <w:r>
        <w:rPr>
          <w:b w:val="false"/>
          <w:bCs w:val="false"/>
          <w:i w:val="false"/>
          <w:iCs w:val="false"/>
          <w:sz w:val="20"/>
          <w:szCs w:val="20"/>
        </w:rPr>
        <w:t xml:space="preserve">Real research on informed consent practice found that treatment benefits are communicated consistently, but risks, alternatives, and the right to withdraw consent are the elements most often omitted in actual practice [7]. [ORGANIZATION NAME] specifically guards against this pattern: a consent conversation that covers only benefits has not met this SOP's requirement, regardless of how thoroughly benefits were explained.</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Therapeutic privilege is invoked only in the rare, documented case where disclosure itself would cause serious psychological harm — never as a convenience, and never without documented justification [3]</w:t>
      </w:r>
    </w:p>
    <w:p>
      <w:pPr>
        <w:spacing w:after="70" w:line="245"/>
        <w:ind w:left="260" w:hanging="180"/>
      </w:pPr>
      <w:r>
        <w:rPr>
          <w:sz w:val="19"/>
          <w:szCs w:val="19"/>
        </w:rPr>
        <w:t xml:space="preserve">•  Oncology treatment consent (Tier 5) and pediatric consent (Tier 6) both add specialty-specific requirements on top of this procedure, not instead of it</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Consent documentation completeness, verified during internal audit — specifically checking for risks and alternatives, not only benefits</w:t>
      </w:r>
    </w:p>
    <w:p>
      <w:pPr>
        <w:spacing w:after="70" w:line="245"/>
        <w:ind w:left="260" w:hanging="180"/>
      </w:pPr>
      <w:r>
        <w:rPr>
          <w:sz w:val="19"/>
          <w:szCs w:val="19"/>
        </w:rPr>
        <w:t xml:space="preserve">•  Patient understanding confirmation rate</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ONC-03</w:t>
            </w:r>
          </w:p>
        </w:tc>
        <w:tc>
          <w:tcPr>
            <w:tcMar>
              <w:top w:type="dxa" w:w="70"/>
              <w:left w:type="dxa" w:w="100"/>
              <w:bottom w:type="dxa" w:w="70"/>
              <w:right w:type="dxa" w:w="90"/>
            </w:tcMar>
            <w:vAlign w:val="center"/>
          </w:tcPr>
          <w:p>
            <w:r>
              <w:rPr>
                <w:b w:val="false"/>
                <w:bCs w:val="false"/>
                <w:sz w:val="15"/>
                <w:szCs w:val="15"/>
              </w:rPr>
              <w:t xml:space="preserve">Oncology-Specific Informed Consent (Tier 5)</w:t>
            </w:r>
          </w:p>
        </w:tc>
      </w:tr>
      <w:tr>
        <w:tc>
          <w:tcPr>
            <w:tcMar>
              <w:top w:type="dxa" w:w="70"/>
              <w:left w:type="dxa" w:w="100"/>
              <w:bottom w:type="dxa" w:w="70"/>
              <w:right w:type="dxa" w:w="90"/>
            </w:tcMar>
            <w:vAlign w:val="center"/>
          </w:tcPr>
          <w:p>
            <w:r>
              <w:rPr>
                <w:b/>
                <w:bCs/>
                <w:sz w:val="15"/>
                <w:szCs w:val="15"/>
              </w:rPr>
              <w:t xml:space="preserve">PED-01</w:t>
            </w:r>
          </w:p>
        </w:tc>
        <w:tc>
          <w:tcPr>
            <w:tcMar>
              <w:top w:type="dxa" w:w="70"/>
              <w:left w:type="dxa" w:w="100"/>
              <w:bottom w:type="dxa" w:w="70"/>
              <w:right w:type="dxa" w:w="90"/>
            </w:tcMar>
            <w:vAlign w:val="center"/>
          </w:tcPr>
          <w:p>
            <w:r>
              <w:rPr>
                <w:b w:val="false"/>
                <w:bCs w:val="false"/>
                <w:sz w:val="15"/>
                <w:szCs w:val="15"/>
              </w:rPr>
              <w:t xml:space="preserve">Pediatric Consent &amp; Guardian Authorization (Tier 6)</w:t>
            </w:r>
          </w:p>
        </w:tc>
      </w:tr>
      <w:tr>
        <w:tc>
          <w:tcPr>
            <w:tcMar>
              <w:top w:type="dxa" w:w="70"/>
              <w:left w:type="dxa" w:w="100"/>
              <w:bottom w:type="dxa" w:w="70"/>
              <w:right w:type="dxa" w:w="90"/>
            </w:tcMar>
            <w:vAlign w:val="center"/>
          </w:tcPr>
          <w:p>
            <w:r>
              <w:rPr>
                <w:b/>
                <w:bCs/>
                <w:sz w:val="15"/>
                <w:szCs w:val="15"/>
              </w:rPr>
              <w: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[PHYSICIAN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Jewkes Law Firm. What Is Informed Consent: Rights, Elements, and Next Steps. 2026.</w:t>
      </w:r>
    </w:p>
    <w:p>
      <w:pPr>
        <w:spacing w:after="90" w:line="230"/>
        <w:ind w:left="320" w:hanging="320"/>
      </w:pPr>
      <w:r>
        <w:rPr>
          <w:b/>
          <w:bCs/>
          <w:color w:val="0E2647"/>
          <w:sz w:val="15"/>
          <w:szCs w:val="15"/>
        </w:rPr>
        <w:t xml:space="preserve">[2] </w:t>
      </w:r>
      <w:r>
        <w:rPr>
          <w:sz w:val="15"/>
          <w:szCs w:val="15"/>
        </w:rPr>
        <w:t xml:space="preserve">Jewkes Law Firm. What Is Informed Consent (five core elements). 2026.</w:t>
      </w:r>
    </w:p>
    <w:p>
      <w:pPr>
        <w:spacing w:after="90" w:line="230"/>
        <w:ind w:left="320" w:hanging="320"/>
      </w:pPr>
      <w:r>
        <w:rPr>
          <w:b/>
          <w:bCs/>
          <w:color w:val="0E2647"/>
          <w:sz w:val="15"/>
          <w:szCs w:val="15"/>
        </w:rPr>
        <w:t xml:space="preserve">[3] </w:t>
      </w:r>
      <w:r>
        <w:rPr>
          <w:sz w:val="15"/>
          <w:szCs w:val="15"/>
        </w:rPr>
        <w:t xml:space="preserve">ProAssurance. Informed Consent Process and Patients' Rights. 2024.</w:t>
      </w:r>
    </w:p>
    <w:p>
      <w:pPr>
        <w:spacing w:after="90" w:line="230"/>
        <w:ind w:left="320" w:hanging="320"/>
      </w:pPr>
      <w:r>
        <w:rPr>
          <w:b/>
          <w:bCs/>
          <w:color w:val="0E2647"/>
          <w:sz w:val="15"/>
          <w:szCs w:val="15"/>
        </w:rPr>
        <w:t xml:space="preserve">[4] </w:t>
      </w:r>
      <w:r>
        <w:rPr>
          <w:sz w:val="15"/>
          <w:szCs w:val="15"/>
        </w:rPr>
        <w:t xml:space="preserve">National Center for Biotechnology Information (StatPearls). Informed Consent. 2024.</w:t>
      </w:r>
    </w:p>
    <w:p>
      <w:pPr>
        <w:spacing w:after="90" w:line="230"/>
        <w:ind w:left="320" w:hanging="320"/>
      </w:pPr>
      <w:r>
        <w:rPr>
          <w:b/>
          <w:bCs/>
          <w:color w:val="0E2647"/>
          <w:sz w:val="15"/>
          <w:szCs w:val="15"/>
        </w:rPr>
        <w:t xml:space="preserve">[5] </w:t>
      </w:r>
      <w:r>
        <w:rPr>
          <w:sz w:val="15"/>
          <w:szCs w:val="15"/>
        </w:rPr>
        <w:t xml:space="preserve">ProAssurance. Informed Consent Process and Patients' Rights — physician disclosure steps.</w:t>
      </w:r>
    </w:p>
    <w:p>
      <w:pPr>
        <w:spacing w:after="90" w:line="230"/>
        <w:ind w:left="320" w:hanging="320"/>
      </w:pPr>
      <w:r>
        <w:rPr>
          <w:b/>
          <w:bCs/>
          <w:color w:val="0E2647"/>
          <w:sz w:val="15"/>
          <w:szCs w:val="15"/>
        </w:rPr>
        <w:t xml:space="preserve">[6] </w:t>
      </w:r>
      <w:r>
        <w:rPr>
          <w:sz w:val="15"/>
          <w:szCs w:val="15"/>
        </w:rPr>
        <w:t xml:space="preserve">NCBI (StatPearls). Informed Consent — right to refuse or withdraw at any time.</w:t>
      </w:r>
    </w:p>
    <w:p>
      <w:pPr>
        <w:spacing w:after="90" w:line="230"/>
        <w:ind w:left="320" w:hanging="320"/>
      </w:pPr>
      <w:r>
        <w:rPr>
          <w:b/>
          <w:bCs/>
          <w:color w:val="0E2647"/>
          <w:sz w:val="15"/>
          <w:szCs w:val="15"/>
        </w:rPr>
        <w:t xml:space="preserve">[7] </w:t>
      </w:r>
      <w:r>
        <w:rPr>
          <w:sz w:val="15"/>
          <w:szCs w:val="15"/>
        </w:rPr>
        <w:t xml:space="preserve">NCBI. Ethical and Legal Aspects of Informed Consent and Assent in Paediatric Dentistry: A Cross-Sectional Study.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[PHYSICIAN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SOP-PR-01-EN · General Informed Consent</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2026-09-13T23:28:08.951Z</dcterms:created>
  <dcterms:modified xsi:type="dcterms:W3CDTF">2026-09-13T23:28:08.961Z</dcterms:modified>
</cp:coreProperties>
</file>

<file path=docProps/custom.xml><?xml version="1.0" encoding="utf-8"?>
<Properties xmlns="http://schemas.openxmlformats.org/officeDocument/2006/custom-properties" xmlns:vt="http://schemas.openxmlformats.org/officeDocument/2006/docPropsVTypes"/>
</file>