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POCT მოწყობილობის კომპეტენციის შემოწმების სია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 xml:space="preserve">ფორმა · SOP-LAB-05-F01-KA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ორგანიზაცია: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დეპარტამენტი: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შემოწმების სია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500"/>
        <w:gridCol w:w="5800"/>
        <w:gridCol w:w="900"/>
        <w:gridCol w:w="900"/>
        <w:gridCol w:w="900"/>
      </w:tblGrid>
      <w:tr>
        <w:tc>
          <w:tcPr>
            <w:tcW w:type="dxa" w:w="500"/>
            <w:shd w:fill="0E2647" w:val="clear"/>
            <w:tcMar>
              <w:top w:type="dxa" w:w="80"/>
              <w:left w:type="dxa" w:w="100"/>
              <w:bottom w:type="dxa" w:w="80"/>
              <w:right w:type="dxa" w:w="60"/>
            </w:tcMar>
          </w:tcPr>
          <w:p>
            <w:r>
              <w:rPr>
                <w:b/>
                <w:bCs/>
                <w:color w:val="FFFFFF"/>
                <w:sz w:val="13"/>
                <w:szCs w:val="13"/>
              </w:rPr>
              <w:t xml:space="preserve">#</w:t>
            </w:r>
          </w:p>
        </w:tc>
        <w:tc>
          <w:tcPr>
            <w:tcW w:type="dxa" w:w="5800"/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3"/>
                <w:szCs w:val="13"/>
              </w:rPr>
              <w:t xml:space="preserve">კომპეტენციის ელემენტი</w:t>
            </w:r>
          </w:p>
        </w:tc>
        <w:tc>
          <w:tcPr>
            <w:tcW w:type="dxa" w:w="900"/>
            <w:shd w:fill="0E2647" w:val="clear"/>
            <w:tcMar>
              <w:top w:type="dxa" w:w="80"/>
              <w:left w:type="dxa" w:w="60"/>
              <w:bottom w:type="dxa" w:w="80"/>
              <w:right w:type="dxa" w:w="6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2"/>
                <w:szCs w:val="12"/>
              </w:rPr>
              <w:t xml:space="preserve">პირდაპირი დაკვირვება</w:t>
            </w:r>
          </w:p>
        </w:tc>
        <w:tc>
          <w:tcPr>
            <w:tcW w:type="dxa" w:w="900"/>
            <w:shd w:fill="0E2647" w:val="clear"/>
            <w:tcMar>
              <w:top w:type="dxa" w:w="80"/>
              <w:left w:type="dxa" w:w="60"/>
              <w:bottom w:type="dxa" w:w="80"/>
              <w:right w:type="dxa" w:w="6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2"/>
                <w:szCs w:val="12"/>
              </w:rPr>
              <w:t xml:space="preserve">გავლილი</w:t>
            </w:r>
          </w:p>
        </w:tc>
        <w:tc>
          <w:tcPr>
            <w:tcW w:type="dxa" w:w="900"/>
            <w:shd w:fill="0E2647" w:val="clear"/>
            <w:tcMar>
              <w:top w:type="dxa" w:w="80"/>
              <w:left w:type="dxa" w:w="60"/>
              <w:bottom w:type="dxa" w:w="80"/>
              <w:right w:type="dxa" w:w="6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2"/>
                <w:szCs w:val="12"/>
              </w:rPr>
              <w:t xml:space="preserve">არ ვრცელდება</w:t>
            </w:r>
          </w:p>
        </w:tc>
      </w:tr>
      <w:tr>
        <w:tc>
          <w:tcPr>
            <w:tcW w:type="dxa" w:w="500"/>
            <w:tcMar>
              <w:top w:type="dxa" w:w="90"/>
              <w:left w:type="dxa" w:w="10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5"/>
                <w:szCs w:val="15"/>
              </w:rPr>
              <w:t xml:space="preserve">1</w:t>
            </w:r>
          </w:p>
        </w:tc>
        <w:tc>
          <w:tcPr>
            <w:tcW w:type="dxa" w:w="5800"/>
            <w:tcMar>
              <w:top w:type="dxa" w:w="90"/>
              <w:left w:type="dxa" w:w="100"/>
              <w:bottom w:type="dxa" w:w="90"/>
              <w:right w:type="dxa" w:w="80"/>
            </w:tcMar>
            <w:vAlign w:val="center"/>
          </w:tcPr>
          <w:p>
            <w:r>
              <w:rPr>
                <w:sz w:val="15"/>
                <w:szCs w:val="15"/>
              </w:rPr>
              <w:t xml:space="preserve">სწორი პაციენტის იდენტიფიცირება ტესტირებამდე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</w:tr>
      <w:tr>
        <w:tc>
          <w:tcPr>
            <w:tcW w:type="dxa" w:w="500"/>
            <w:tcMar>
              <w:top w:type="dxa" w:w="90"/>
              <w:left w:type="dxa" w:w="10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5"/>
                <w:szCs w:val="15"/>
              </w:rPr>
              <w:t xml:space="preserve">2</w:t>
            </w:r>
          </w:p>
        </w:tc>
        <w:tc>
          <w:tcPr>
            <w:tcW w:type="dxa" w:w="5800"/>
            <w:tcMar>
              <w:top w:type="dxa" w:w="90"/>
              <w:left w:type="dxa" w:w="100"/>
              <w:bottom w:type="dxa" w:w="90"/>
              <w:right w:type="dxa" w:w="80"/>
            </w:tcMar>
            <w:vAlign w:val="center"/>
          </w:tcPr>
          <w:p>
            <w:r>
              <w:rPr>
                <w:sz w:val="15"/>
                <w:szCs w:val="15"/>
              </w:rPr>
              <w:t xml:space="preserve">სწორი ნიმუშის დამუშავების ტექნიკა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</w:tr>
      <w:tr>
        <w:tc>
          <w:tcPr>
            <w:tcW w:type="dxa" w:w="500"/>
            <w:tcMar>
              <w:top w:type="dxa" w:w="90"/>
              <w:left w:type="dxa" w:w="10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5"/>
                <w:szCs w:val="15"/>
              </w:rPr>
              <w:t xml:space="preserve">3</w:t>
            </w:r>
          </w:p>
        </w:tc>
        <w:tc>
          <w:tcPr>
            <w:tcW w:type="dxa" w:w="5800"/>
            <w:tcMar>
              <w:top w:type="dxa" w:w="90"/>
              <w:left w:type="dxa" w:w="100"/>
              <w:bottom w:type="dxa" w:w="90"/>
              <w:right w:type="dxa" w:w="80"/>
            </w:tcMar>
            <w:vAlign w:val="center"/>
          </w:tcPr>
          <w:p>
            <w:r>
              <w:rPr>
                <w:sz w:val="15"/>
                <w:szCs w:val="15"/>
              </w:rPr>
              <w:t xml:space="preserve">მოწყობილობის QC შესრულებული პაციენტის ტესტირებამდე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</w:tr>
      <w:tr>
        <w:tc>
          <w:tcPr>
            <w:tcW w:type="dxa" w:w="500"/>
            <w:tcMar>
              <w:top w:type="dxa" w:w="90"/>
              <w:left w:type="dxa" w:w="10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5"/>
                <w:szCs w:val="15"/>
              </w:rPr>
              <w:t xml:space="preserve">4</w:t>
            </w:r>
          </w:p>
        </w:tc>
        <w:tc>
          <w:tcPr>
            <w:tcW w:type="dxa" w:w="5800"/>
            <w:tcMar>
              <w:top w:type="dxa" w:w="90"/>
              <w:left w:type="dxa" w:w="100"/>
              <w:bottom w:type="dxa" w:w="90"/>
              <w:right w:type="dxa" w:w="80"/>
            </w:tcMar>
            <w:vAlign w:val="center"/>
          </w:tcPr>
          <w:p>
            <w:r>
              <w:rPr>
                <w:sz w:val="15"/>
                <w:szCs w:val="15"/>
              </w:rPr>
              <w:t xml:space="preserve">შედეგი სწორად დოკუმენტირებული და შეტყობინებული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</w:tr>
      <w:tr>
        <w:tc>
          <w:tcPr>
            <w:tcW w:type="dxa" w:w="500"/>
            <w:tcMar>
              <w:top w:type="dxa" w:w="90"/>
              <w:left w:type="dxa" w:w="10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5"/>
                <w:szCs w:val="15"/>
              </w:rPr>
              <w:t xml:space="preserve">5</w:t>
            </w:r>
          </w:p>
        </w:tc>
        <w:tc>
          <w:tcPr>
            <w:tcW w:type="dxa" w:w="5800"/>
            <w:tcMar>
              <w:top w:type="dxa" w:w="90"/>
              <w:left w:type="dxa" w:w="100"/>
              <w:bottom w:type="dxa" w:w="90"/>
              <w:right w:type="dxa" w:w="80"/>
            </w:tcMar>
            <w:vAlign w:val="center"/>
          </w:tcPr>
          <w:p>
            <w:r>
              <w:rPr>
                <w:sz w:val="15"/>
                <w:szCs w:val="15"/>
              </w:rPr>
              <w:t xml:space="preserve">შეცდომის კოდების მოგვარება დემონსტრირებული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შემვსების ხელმოწერა: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განხილულია: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 xml:space="preserve">მშობელი პროცედურა: SOP-LAB-05 საწოლთან ტესტირების მართვა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გვ.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SOP-LAB-05-F01-KA · SOP-LAB-05 საწოლთან ტესტირების მართვა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გამოცემა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2026-09-14T21:10:14.757Z</dcterms:created>
  <dcterms:modified xsi:type="dcterms:W3CDTF">2026-09-14T21:10:14.757Z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