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კრიტიკული მნიშვნელობის შეტყობინების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SOP-LAB-17-F01-KA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1500"/>
        <w:gridCol w:w="1500"/>
        <w:gridCol w:w="1500"/>
        <w:gridCol w:w="1200"/>
        <w:gridCol w:w="1000"/>
      </w:tblGrid>
      <w:tr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თარიღი/დრო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პაციენტი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კრიტიკული მნიშვნელობა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შეტყობინდა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უკუკითხვა დადასტურებული (დიახ/არა)</w:t>
            </w:r>
          </w:p>
        </w:tc>
        <w:tc>
          <w:tcPr>
            <w:tcW w:type="dxa" w:w="1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შემტყობინებელი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SOP-LAB-17 კრიტიკული ლაბორატორიული მნიშვნელობის შეტყობინება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SOP-LAB-17-F01-KA · SOP-LAB-17 კრიტიკული ლაბორატორიული მნიშვნელობის შეტყობინება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2026-09-14T21:10:15.983Z</dcterms:created>
  <dcterms:modified xsi:type="dcterms:W3CDTF">2026-09-14T21:10:15.983Z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