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Emergency Preparedness</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DENT-CC-01-EN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Emergency Preparedness</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DENT-CC-01-KA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Determining Emergency Equipment Needs · 7. Placement and Access</w:t>
      </w:r>
    </w:p>
    <w:p>
      <w:pPr>
        <w:spacing w:after="110" w:line="260"/>
      </w:pPr>
      <w:r>
        <w:rPr>
          <w:b w:val="false"/>
          <w:bCs w:val="false"/>
          <w:i w:val="false"/>
          <w:iCs w:val="false"/>
          <w:sz w:val="20"/>
          <w:szCs w:val="20"/>
        </w:rPr>
        <w:t xml:space="preserve">8. Maintenance Schedule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[ORGANIZATION NAME] is genuinely equipped and staff genuinely prepared to respond to a medical emergency occurring on-site, with equipment specifically determined for this clinic's own scope of practice — not a generic or hospital-derived list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emergency equipment and response readiness across every treatment area at [ORGANIZATION NAME], including general consultation, the laboratory/draw station, the oncology infusion area, and pediatric care.</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Documented determination — a written, medical-director-approved decision on exactly which emergency equipment and medications this clinic stocks, based on its own real scope of practice, not a template [1–2]</w:t>
      </w:r>
    </w:p>
    <w:p>
      <w:pPr>
        <w:spacing w:after="70" w:line="245"/>
        <w:ind w:left="260" w:hanging="180"/>
      </w:pPr>
      <w:r>
        <w:rPr>
          <w:sz w:val="19"/>
          <w:szCs w:val="19"/>
        </w:rPr>
        <w:t xml:space="preserve">•  AED — Automated External Defibrillator</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An outpatient clinic is not a hospital, and copying a hospital emergency-cart list creates two real, distinct problems: it stocks controlled or prescription-only medications the clinic typically lacks the medical oversight, storage security, or trained staff to administer safely, and it omits categories this specific clinic actually needs, since those categories were never a hospital cart's purpose [1]. Most outpatient clinics are not required to have something specifically called a “crash cart” — what is genuinely required is a documented, written determination by the medical director and governing body of exactly what equipment this clinic needs, with personnel trained on that specific equipment [1–2].</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Medical Director</w:t>
            </w:r>
          </w:p>
        </w:tc>
        <w:tc>
          <w:tcPr>
            <w:shd w:fill="0E2647" w:val="clear"/>
            <w:tcMar>
              <w:top w:type="dxa" w:w="70"/>
              <w:left w:type="dxa" w:w="80"/>
              <w:bottom w:type="dxa" w:w="70"/>
              <w:right w:type="dxa" w:w="70"/>
            </w:tcMar>
          </w:tcPr>
          <w:p>
            <w:pPr>
              <w:jc w:val="center"/>
            </w:pPr>
            <w:r>
              <w:rPr>
                <w:b/>
                <w:bCs/>
                <w:color w:val="FFFFFF"/>
                <w:sz w:val="13"/>
                <w:szCs w:val="13"/>
              </w:rPr>
              <w:t xml:space="preserve">Nursing Staff</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Equipment/medication determination (Section 6)</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Daily/shift visual check</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Monthly inventory check</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Annual drill coordination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bl>
    <w:p>
      <w:pPr>
        <w:pStyle w:val="Heading1"/>
        <w:spacing w:after="120" w:before="240"/>
      </w:pPr>
      <w:r>
        <w:rPr>
          <w:b/>
          <w:bCs/>
          <w:color w:val="0E2647"/>
          <w:sz w:val="24"/>
          <w:szCs w:val="24"/>
        </w:rPr>
        <w:t xml:space="preserve">6. Determining Emergency Equipment Needs</w:t>
      </w:r>
    </w:p>
    <w:p>
      <w:pPr>
        <w:spacing w:after="110" w:line="260"/>
      </w:pPr>
      <w:r>
        <w:rPr>
          <w:b w:val="false"/>
          <w:bCs w:val="false"/>
          <w:i w:val="false"/>
          <w:iCs w:val="false"/>
          <w:sz w:val="20"/>
          <w:szCs w:val="20"/>
        </w:rPr>
        <w:t xml:space="preserve">[ORGANIZATION NAME]'s medical director and governing body determine, in writing, the specific emergency equipment and medications this clinic stocks, based on the clinic's actual scope of practice — general consultation, oncology infusion, laboratory, and pediatric care — not a generic template [1–2]. This determination specifically considers the clinic's own highest-acuity activities.</w:t>
      </w:r>
    </w:p>
    <w:p>
      <w:pPr>
        <w:pBdr>
          <w:left w:val="single" w:color="C9A227" w:sz="16" w:space="10"/>
        </w:pBdr>
        <w:shd w:fill="FFF8E7" w:val="clear"/>
        <w:spacing w:after="160" w:before="110"/>
      </w:pPr>
      <w:r>
        <w:rPr>
          <w:i/>
          <w:iCs/>
          <w:color w:val="5C4A0A"/>
          <w:sz w:val="18"/>
          <w:szCs w:val="18"/>
        </w:rPr>
        <w:t xml:space="preserve">Anything beyond the basic, universally applicable equipment is a medical-director decision specific to this clinic's own scope of practice, not a default inclusion copied from another facility type [1].</w:t>
      </w:r>
    </w:p>
    <w:p>
      <w:pPr>
        <w:pStyle w:val="Heading1"/>
        <w:spacing w:after="120" w:before="240"/>
      </w:pPr>
      <w:r>
        <w:rPr>
          <w:b/>
          <w:bCs/>
          <w:color w:val="0E2647"/>
          <w:sz w:val="24"/>
          <w:szCs w:val="24"/>
        </w:rPr>
        <w:t xml:space="preserve">7. Placement and Access</w:t>
      </w:r>
    </w:p>
    <w:p>
      <w:pPr>
        <w:spacing w:after="70" w:line="245"/>
        <w:ind w:left="260" w:hanging="180"/>
      </w:pPr>
      <w:r>
        <w:rPr>
          <w:sz w:val="19"/>
          <w:szCs w:val="19"/>
        </w:rPr>
        <w:t xml:space="preserve">•  Emergency equipment is reachable from every treatment area on a short walk, never behind a door that can be locked or obstructed [1]</w:t>
      </w:r>
    </w:p>
    <w:p>
      <w:pPr>
        <w:spacing w:after="70" w:line="245"/>
        <w:ind w:left="260" w:hanging="180"/>
      </w:pPr>
      <w:r>
        <w:rPr>
          <w:sz w:val="19"/>
          <w:szCs w:val="19"/>
        </w:rPr>
        <w:t xml:space="preserve">•  Placement is ideally near the clinic's highest-acuity activity — for [ORGANIZATION NAME], this includes the oncology infusion area [1]</w:t>
      </w:r>
    </w:p>
    <w:p>
      <w:pPr>
        <w:spacing w:after="70" w:line="245"/>
        <w:ind w:left="260" w:hanging="180"/>
      </w:pPr>
      <w:r>
        <w:rPr>
          <w:sz w:val="19"/>
          <w:szCs w:val="19"/>
        </w:rPr>
        <w:t xml:space="preserve">•  Location is clearly signed, so any staff member can locate it without hesitation during an actual emergency</w:t>
      </w:r>
    </w:p>
    <w:p>
      <w:pPr>
        <w:pStyle w:val="Heading1"/>
        <w:spacing w:after="120" w:before="240"/>
      </w:pPr>
      <w:r>
        <w:rPr>
          <w:b/>
          <w:bCs/>
          <w:color w:val="0E2647"/>
          <w:sz w:val="24"/>
          <w:szCs w:val="24"/>
        </w:rPr>
        <w:t xml:space="preserve">8. Maintenance Schedule</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400"/>
        <w:gridCol w:w="6600"/>
      </w:tblGrid>
      <w:tr>
        <w:tc>
          <w:tcPr>
            <w:shd w:fill="0E2647" w:val="clear"/>
            <w:tcMar>
              <w:top w:type="dxa" w:w="80"/>
              <w:left w:type="dxa" w:w="100"/>
              <w:bottom w:type="dxa" w:w="80"/>
              <w:right w:type="dxa" w:w="80"/>
            </w:tcMar>
          </w:tcPr>
          <w:p>
            <w:r>
              <w:rPr>
                <w:b/>
                <w:bCs/>
                <w:color w:val="FFFFFF"/>
                <w:sz w:val="14"/>
                <w:szCs w:val="14"/>
              </w:rPr>
              <w:t xml:space="preserve">Frequency</w:t>
            </w:r>
          </w:p>
        </w:tc>
        <w:tc>
          <w:tcPr>
            <w:shd w:fill="0E2647" w:val="clear"/>
            <w:tcMar>
              <w:top w:type="dxa" w:w="80"/>
              <w:left w:type="dxa" w:w="100"/>
              <w:bottom w:type="dxa" w:w="80"/>
              <w:right w:type="dxa" w:w="80"/>
            </w:tcMar>
          </w:tcPr>
          <w:p>
            <w:r>
              <w:rPr>
                <w:b/>
                <w:bCs/>
                <w:color w:val="FFFFFF"/>
                <w:sz w:val="14"/>
                <w:szCs w:val="14"/>
              </w:rPr>
              <w:t xml:space="preserve">Check</w:t>
            </w:r>
          </w:p>
        </w:tc>
      </w:tr>
      <w:tr>
        <w:tc>
          <w:tcPr>
            <w:tcW w:type="dxa" w:w="2400"/>
            <w:tcMar>
              <w:top w:type="dxa" w:w="80"/>
              <w:left w:type="dxa" w:w="100"/>
              <w:bottom w:type="dxa" w:w="80"/>
              <w:right w:type="dxa" w:w="80"/>
            </w:tcMar>
            <w:vAlign w:val="center"/>
          </w:tcPr>
          <w:p>
            <w:r>
              <w:rPr>
                <w:b/>
                <w:bCs/>
                <w:color w:val="0E2647"/>
                <w:sz w:val="15"/>
                <w:szCs w:val="15"/>
              </w:rPr>
              <w:t xml:space="preserve">Every shift/day</w:t>
            </w:r>
          </w:p>
        </w:tc>
        <w:tc>
          <w:tcPr>
            <w:tcW w:type="dxa" w:w="6600"/>
            <w:tcMar>
              <w:top w:type="dxa" w:w="80"/>
              <w:left w:type="dxa" w:w="100"/>
              <w:bottom w:type="dxa" w:w="80"/>
              <w:right w:type="dxa" w:w="80"/>
            </w:tcMar>
            <w:vAlign w:val="center"/>
          </w:tcPr>
          <w:p>
            <w:r>
              <w:rPr>
                <w:sz w:val="14"/>
                <w:szCs w:val="14"/>
              </w:rPr>
              <w:t xml:space="preserve">Brief visual check — seal intact, AED shows ready [1]</w:t>
            </w:r>
          </w:p>
        </w:tc>
      </w:tr>
      <w:tr>
        <w:tc>
          <w:tcPr>
            <w:tcW w:type="dxa" w:w="2400"/>
            <w:tcMar>
              <w:top w:type="dxa" w:w="80"/>
              <w:left w:type="dxa" w:w="100"/>
              <w:bottom w:type="dxa" w:w="80"/>
              <w:right w:type="dxa" w:w="80"/>
            </w:tcMar>
            <w:vAlign w:val="center"/>
          </w:tcPr>
          <w:p>
            <w:r>
              <w:rPr>
                <w:b/>
                <w:bCs/>
                <w:color w:val="0E2647"/>
                <w:sz w:val="15"/>
                <w:szCs w:val="15"/>
              </w:rPr>
              <w:t xml:space="preserve">Monthly</w:t>
            </w:r>
          </w:p>
        </w:tc>
        <w:tc>
          <w:tcPr>
            <w:tcW w:type="dxa" w:w="6600"/>
            <w:tcMar>
              <w:top w:type="dxa" w:w="80"/>
              <w:left w:type="dxa" w:w="100"/>
              <w:bottom w:type="dxa" w:w="80"/>
              <w:right w:type="dxa" w:w="80"/>
            </w:tcMar>
            <w:vAlign w:val="center"/>
          </w:tcPr>
          <w:p>
            <w:r>
              <w:rPr>
                <w:sz w:val="14"/>
                <w:szCs w:val="14"/>
              </w:rPr>
              <w:t xml:space="preserve">Thorough inventory check against expiration dates [1]</w:t>
            </w:r>
          </w:p>
        </w:tc>
      </w:tr>
      <w:tr>
        <w:tc>
          <w:tcPr>
            <w:tcW w:type="dxa" w:w="2400"/>
            <w:tcMar>
              <w:top w:type="dxa" w:w="80"/>
              <w:left w:type="dxa" w:w="100"/>
              <w:bottom w:type="dxa" w:w="80"/>
              <w:right w:type="dxa" w:w="80"/>
            </w:tcMar>
            <w:vAlign w:val="center"/>
          </w:tcPr>
          <w:p>
            <w:r>
              <w:rPr>
                <w:b/>
                <w:bCs/>
                <w:color w:val="0E2647"/>
                <w:sz w:val="15"/>
                <w:szCs w:val="15"/>
              </w:rPr>
              <w:t xml:space="preserve">Annually, minimum</w:t>
            </w:r>
          </w:p>
        </w:tc>
        <w:tc>
          <w:tcPr>
            <w:tcW w:type="dxa" w:w="6600"/>
            <w:tcMar>
              <w:top w:type="dxa" w:w="80"/>
              <w:left w:type="dxa" w:w="100"/>
              <w:bottom w:type="dxa" w:w="80"/>
              <w:right w:type="dxa" w:w="80"/>
            </w:tcMar>
            <w:vAlign w:val="center"/>
          </w:tcPr>
          <w:p>
            <w:r>
              <w:rPr>
                <w:sz w:val="14"/>
                <w:szCs w:val="14"/>
              </w:rPr>
              <w:t xml:space="preserve">Hands-on or tabletop drill, so staff locate and use equipment under time pressure without it being their first encounter with it [1]</w:t>
            </w:r>
          </w:p>
        </w:tc>
      </w:tr>
    </w:tbl>
    <w:p>
      <w:pPr>
        <w:pBdr>
          <w:left w:val="single" w:color="C9A227" w:sz="16" w:space="10"/>
        </w:pBdr>
        <w:shd w:fill="FFF8E7" w:val="clear"/>
        <w:spacing w:after="160" w:before="110"/>
      </w:pPr>
      <w:r>
        <w:rPr>
          <w:i/>
          <w:iCs/>
          <w:color w:val="5C4A0A"/>
          <w:sz w:val="18"/>
          <w:szCs w:val="18"/>
        </w:rPr>
        <w:t xml:space="preserve">Sealed trays are used to identify at a glance whether a tray has been used or tampered with since its last check — a real, recommended practice, not merely a convenience [3].</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The oncology infusion area's proximity to emergency equipment is treated as a priority, given the real, elevated risk profile of infusion reactions</w:t>
      </w:r>
    </w:p>
    <w:p>
      <w:pPr>
        <w:spacing w:after="70" w:line="245"/>
        <w:ind w:left="260" w:hanging="180"/>
      </w:pPr>
      <w:r>
        <w:rPr>
          <w:sz w:val="19"/>
          <w:szCs w:val="19"/>
        </w:rPr>
        <w:t xml:space="preserve">•  Pediatric-specific emergency equipment sizing is included in the documented determination where pediatric care is part of the clinic's scope</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Daily/shift check completion rate</w:t>
      </w:r>
    </w:p>
    <w:p>
      <w:pPr>
        <w:spacing w:after="70" w:line="245"/>
        <w:ind w:left="260" w:hanging="180"/>
      </w:pPr>
      <w:r>
        <w:rPr>
          <w:sz w:val="19"/>
          <w:szCs w:val="19"/>
        </w:rPr>
        <w:t xml:space="preserve">•  Monthly inventory check completion, with expired items replaced promptly</w:t>
      </w:r>
    </w:p>
    <w:p>
      <w:pPr>
        <w:spacing w:after="70" w:line="245"/>
        <w:ind w:left="260" w:hanging="180"/>
      </w:pPr>
      <w:r>
        <w:rPr>
          <w:sz w:val="19"/>
          <w:szCs w:val="19"/>
        </w:rPr>
        <w:t xml:space="preserve">•  Annual drill completion and staff confidence, assessed post-drill</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DENT-PS-02</w:t>
            </w:r>
          </w:p>
        </w:tc>
        <w:tc>
          <w:tcPr>
            <w:tcMar>
              <w:top w:type="dxa" w:w="70"/>
              <w:left w:type="dxa" w:w="100"/>
              <w:bottom w:type="dxa" w:w="70"/>
              <w:right w:type="dxa" w:w="90"/>
            </w:tcMar>
            <w:vAlign w:val="center"/>
          </w:tcPr>
          <w:p>
            <w:r>
              <w:rPr>
                <w:b w:val="false"/>
                <w:bCs w:val="false"/>
                <w:sz w:val="15"/>
                <w:szCs w:val="15"/>
              </w:rPr>
              <w:t xml:space="preserve">Clinical Incident &amp; Adverse Event Reporting</w:t>
            </w:r>
          </w:p>
        </w:tc>
      </w:tr>
      <w:tr>
        <w:tc>
          <w:tcPr>
            <w:tcMar>
              <w:top w:type="dxa" w:w="70"/>
              <w:left w:type="dxa" w:w="100"/>
              <w:bottom w:type="dxa" w:w="70"/>
              <w:right w:type="dxa" w:w="90"/>
            </w:tcMar>
            <w:vAlign w:val="center"/>
          </w:tcPr>
          <w:p>
            <w:r>
              <w:rPr>
                <w:b/>
                <w:bCs/>
                <w:sz w:val="15"/>
                <w:szCs w:val="15"/>
              </w:rPr>
              <w:t>DENT-GOV-01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[MEDICAL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CASRAI. Clinic Emergency Response Cart Checklist — CMS 42 CFR 416.44(d) documented determination requirement, outpatient vs. hospital cart distinction. 2026.</w:t>
      </w:r>
    </w:p>
    <w:p>
      <w:pPr>
        <w:spacing w:after="90" w:line="230"/>
        <w:ind w:left="320" w:hanging="320"/>
      </w:pPr>
      <w:r>
        <w:rPr>
          <w:b/>
          <w:bCs/>
          <w:color w:val="0E2647"/>
          <w:sz w:val="15"/>
          <w:szCs w:val="15"/>
        </w:rPr>
        <w:t xml:space="preserve">[2] </w:t>
      </w:r>
      <w:r>
        <w:rPr>
          <w:sz w:val="15"/>
          <w:szCs w:val="15"/>
        </w:rPr>
        <w:t xml:space="preserve">AAFP (FPM). A Practical Guide to Emergency Preparedness for Office-Based Family Physicians.</w:t>
      </w:r>
    </w:p>
    <w:p>
      <w:pPr>
        <w:spacing w:after="90" w:line="230"/>
        <w:ind w:left="320" w:hanging="320"/>
      </w:pPr>
      <w:r>
        <w:rPr>
          <w:b/>
          <w:bCs/>
          <w:color w:val="0E2647"/>
          <w:sz w:val="15"/>
          <w:szCs w:val="15"/>
        </w:rPr>
        <w:t xml:space="preserve">[3] </w:t>
      </w:r>
      <w:r>
        <w:rPr>
          <w:sz w:val="15"/>
          <w:szCs w:val="15"/>
        </w:rPr>
        <w:t xml:space="preserve">Inner Space Healthcare. Organizing A Crash Cart — Joint Commission 2017 sealed-tray recommendation.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[MEDICAL DIRECTOR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DENT-CC-01-EN · Emergency Preparedness</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2026-09-14T12:50:04.922Z</dcterms:created>
  <dcterms:modified xsi:type="dcterms:W3CDTF">2026-09-14T12:50:04.922Z</dcterms:modified>
</cp:coreProperties>
</file>

<file path=docProps/custom.xml><?xml version="1.0" encoding="utf-8"?>
<Properties xmlns="http://schemas.openxmlformats.org/officeDocument/2006/custom-properties" xmlns:vt="http://schemas.openxmlformats.org/officeDocument/2006/docPropsVTypes"/>
</file>