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Risk Register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Risk Register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DENT-GOV-05-KA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Scoring Method · 7. Treatment Options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Populated Risk Register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 systematically identifies, scores, and treats the real risks that could affect patient safety, care quality, or the QMS itself, consistent with ISO 9001:2015 Clause 6.1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risk identification and treatment across every tier of [ORGANIZATION NAME]'s ISO 9001 Ready pack. It does not replace any individual SOP's own risk-specific content — it aggregates and prioritizes what those SOPs have already identified.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Likelihood — the probability of the risk event occurring, scored 1 (unlikely) to 5 (very likely)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Severity — the impact if the risk occurs, scored 1 (minor) to 5 (catastrophic)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score — likelihood × severity, from 1 to 25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does not mandate a specific risk register format, and does not require a formal risk management program equivalent to ISO 31000 — what is required is a genuinely systematic approach to identifying and addressing risk [1, 6]. A real, common failure: treating every risk with the same burdensome process regardless of severity, which produces QMS bloat and erodes staff engagement with the process rather than strengthening it [6]. This register applies proportionate treatment — rigorous for high scores, lighter for low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Risk Owners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Register maintenance and scoring consistency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risk treatment actions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full review (minimum)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Scoring Method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Likelihood and severity are each scored 1–5; the product (risk score, 1–25) determines the risk level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Score Range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Review Cadence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Low — monitor only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Medium — mitigate as resources allow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High — active treatment plan required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Critical — immediate action, reviewed at every 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Treatment Options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Avoid — eliminate the activity generating the risk entirely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Mitigate — reduce likelihood or severity; the most common real-world choice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Transfer — share the risk with a third party (insurance, a critical supplier's contractual liability)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 — acknowledge the risk where the cost of treating it genuinely outweighs the benefit — a deliberate decision, not an omission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Populated Risk Register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register aggregates real risks already identified across [ORGANIZATION NAME]'s SOPs — it is a working tool, not a blank template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Risk (Source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Level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Treatment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Vaccine/medication cold chain excursion (PED-04)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continuous DDL monitoring, backup power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Nursing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extravasation (ONC-02)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12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IV monitoring, extravasation kit readiness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lab value delayed notification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closed-loop notification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Lab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staff exposure (ONC-01)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PPE-by-intensity, engineering controls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Oncology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Critical supplier failure — waste contractor (DENT-CC-02)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6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certification verification, backup contractor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Quality Manager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Power outage affecting refrigeration/records (DENT-CC-04)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9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backup power, PED-04 excursion protocol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IT/Records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Dialysis bloodborne pathogen cross-contamination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10 High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machine/station segregation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Dialysis Lead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>Pediatric dosing calculation error (DENT-PED-02)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 xml:space="preserve">8 Medium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Mitigate — dual-ceiling check, independent double-check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2"/>
                <w:szCs w:val="12"/>
              </w:rPr>
              <w:t xml:space="preserve">Pediatric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Ten to twenty-five risks is a real, reasonable range for an organization of this size — fewer suggests insufficient analysis, and far more makes genuine follow-up impractical [5]. This register grows as new tiers and service lines (e.g., laboratory, dialysis) are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risk score is not fixed — as mitigation actions take effect, the risk is rescored, and genuinely reduced risks may move to a lower treatment tier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Risk register status is a required input to Management Review (DENT-GOV-03), not a document maintained in isolation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and High risks with an active, current treatment plan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 register reviewed at every Management Review, minimum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Risks newly identified through incidents, audits, or complaints added within one cycle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likelihood × impact matrix.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scoring thresholds, reasonable risk count for an SME.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6.1: Actions to Address Risks and Opportunities — common QMS-bloat failure.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DENT-GOV-05-EN · Risk Register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2026-09-14T14:26:46.182Z</dcterms:created>
  <dcterms:modified xsi:type="dcterms:W3CDTF">2026-09-14T14:26:46.200Z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