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პედიატრიული დოზირების უსაფრთხოება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DENT-PED-02-KA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პედიატრიული დოზირების უსაფრთხოება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წონის დოკუმენტირება · 7. ორმაგი ზღვრის შემოწმება</w:t>
      </w:r>
    </w:p>
    <w:p>
      <w:pPr>
        <w:spacing w:after="110" w:line="260"/>
      </w:pPr>
      <w:r>
        <w:rPr>
          <w:b w:val="false"/>
          <w:bCs w:val="false"/>
          <w:i w:val="false"/>
          <w:iCs w:val="false"/>
          <w:sz w:val="20"/>
          <w:szCs w:val="20"/>
        </w:rPr>
        <w:t xml:space="preserve">8. დამოუკიდებელი გადამოწმება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პედიატრიული მედიკამენტის დოზის სწორად გამოთვლისა და მიცემამდე გადამოწმების უზრუნველყოფა, იმის გათვალისწინებით, რომ პედიატრიული არასასურველი წამლის მოვლენები დაახლოებით სამჯერ უფრო ხშირად ხდება, ვიდრე ზრდასრულებში, ხოლო პედიატრიული მედიკამენტების შეცდომების მნიშვნელოვანი უმეტესობა კონკრეტულად დოზირების გამოთვლას მიეწერება, არა პრეპარატის შერჩევას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წინამდებარე პროცედურა ვრცელდება [ORGANIZATION NAME]-ში პედიატრიული პაციენტისთვის გამოთვლილ ან მიცემულ ყოველ წონაზე-დაფუძნებულ მედიკამენტის დოზაზე. ის ემატება, და არასდროს ცვლის, მედიკამენტების მართვის პროცედურას (DENT-MED-01).</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წონაზე-დაფუძნებული დოზირება — დოზის გამოთვლა მგ/კგ-ში, პაციენტის რეალურ, მიმდინარე წონაზე დაფუძნებით კილოგრამებში, სტანდარტული მიდგომა პედიატრიულ მედიცინაში [4]</w:t>
      </w:r>
    </w:p>
    <w:p>
      <w:pPr>
        <w:spacing w:after="70" w:line="245"/>
        <w:ind w:left="260" w:hanging="180"/>
      </w:pPr>
      <w:r>
        <w:rPr>
          <w:sz w:val="19"/>
          <w:szCs w:val="19"/>
        </w:rPr>
        <w:t xml:space="preserve">•  ორმაგი ზღვრის შემოწმება — გამოთვლილი წონაზე-დაფუძნებული დოზის შემოწმება როგორც პედიატრიული მგ/კგ სახელმძღვანელოსთან, ასევე ზრდასრულის მაქსიმალურ დოზასთან, ვინაიდან ზრდასრულის ზღვრის გადაჭარბება შესაძლებელია, თუნდაც წონაზე გამოთვლა სწორია [5]</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ბავშვების ორგანიზმი განსხვავებულად ამუშავებს, ანაწილებს და გამოყოფს მედიკამენტებს, ვიდრე ზრდასრულის, და პრაქტიკულად ყოველი პედიატრიული დოზა უნდა გამოითვალოს ინდივიდუალურად, ზრდასრულთა სტანდარტული სიძლიერეების მცირე ნაკრებიდან შერჩევის ნაცვლად [4, 6]. პედიატრიული მედიკამენტების შეცდომების მნიშვნელოვანი უმეტესობა — რეალური მონაცემები აჩვენებს დაახლოებით 80%-ს — მიეწერება კონკრეტულად დოზირების გამოთვლის უზუსტობებს, არა პრეპარატის შერჩევის ან დროის შეცდომებს [3].</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პედიატრიის ხელმძღვანელი</w:t>
            </w:r>
          </w:p>
        </w:tc>
        <w:tc>
          <w:tcPr>
            <w:shd w:fill="0E2647" w:val="clear"/>
            <w:tcMar>
              <w:top w:type="dxa" w:w="70"/>
              <w:left w:type="dxa" w:w="80"/>
              <w:bottom w:type="dxa" w:w="70"/>
              <w:right w:type="dxa" w:w="70"/>
            </w:tcMar>
          </w:tcPr>
          <w:p>
            <w:pPr>
              <w:jc w:val="center"/>
            </w:pPr>
            <w:r>
              <w:rPr>
                <w:b/>
                <w:bCs/>
                <w:color w:val="FFFFFF"/>
                <w:sz w:val="13"/>
                <w:szCs w:val="13"/>
              </w:rPr>
              <w:t xml:space="preserve">ექიმი</w:t>
            </w:r>
          </w:p>
        </w:tc>
        <w:tc>
          <w:tcPr>
            <w:shd w:fill="0E2647" w:val="clear"/>
            <w:tcMar>
              <w:top w:type="dxa" w:w="70"/>
              <w:left w:type="dxa" w:w="80"/>
              <w:bottom w:type="dxa" w:w="70"/>
              <w:right w:type="dxa" w:w="70"/>
            </w:tcMar>
          </w:tcPr>
          <w:p>
            <w:pPr>
              <w:jc w:val="center"/>
            </w:pPr>
            <w:r>
              <w:rPr>
                <w:b/>
                <w:bCs/>
                <w:color w:val="FFFFFF"/>
                <w:sz w:val="13"/>
                <w:szCs w:val="13"/>
              </w:rPr>
              <w:t xml:space="preserve">საექთნო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წონის დოკუმენტირება, ყოველი ვიზიტი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საწყისი დოზის გამოთვლა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დამოუკიდებელი გადამოწმება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დოზირების შეცდომის გამოძიება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ინფორმირებული</w:t>
            </w:r>
          </w:p>
        </w:tc>
      </w:tr>
    </w:tbl>
    <w:p>
      <w:pPr>
        <w:pStyle w:val="Heading1"/>
        <w:spacing w:after="120" w:before="240"/>
      </w:pPr>
      <w:r>
        <w:rPr>
          <w:b/>
          <w:bCs/>
          <w:color w:val="0E2647"/>
          <w:sz w:val="24"/>
          <w:szCs w:val="24"/>
        </w:rPr>
        <w:t xml:space="preserve">6. წონის დოკუმენტირება</w:t>
      </w:r>
    </w:p>
    <w:p>
      <w:pPr>
        <w:pBdr>
          <w:left w:val="single" w:color="C0392B" w:sz="16" w:space="10"/>
        </w:pBdr>
        <w:shd w:fill="FDECEC" w:val="clear"/>
        <w:spacing w:after="160" w:before="110"/>
      </w:pPr>
      <w:r>
        <w:rPr>
          <w:b/>
          <w:bCs/>
          <w:i/>
          <w:iCs/>
          <w:color w:val="7B241C"/>
          <w:sz w:val="18"/>
          <w:szCs w:val="18"/>
        </w:rPr>
        <w:t xml:space="preserve">წონა დოკუმენტირდება კილოგრამებში, გაზომილი ვიზიტისას, არასდროს ნაფიქრები ან წინა ჩანაწერიდან გადმოტანილი — რეალური უსაფრთხოების მონაცემები პირდაპირ უკავშირებს არაზუსტ ან ნაკლულ წონის დოკუმენტაციას პაციენტამდე მიღწეულ დოზირების შეცდომებთან [7].</w:t>
      </w:r>
    </w:p>
    <w:p>
      <w:pPr>
        <w:spacing w:after="70" w:line="245"/>
        <w:ind w:left="260" w:hanging="180"/>
      </w:pPr>
      <w:r>
        <w:rPr>
          <w:sz w:val="19"/>
          <w:szCs w:val="19"/>
        </w:rPr>
        <w:t xml:space="preserve">•  წონა ფიქსირდება კილოგრამებში, თავად მედიკამენტის დანიშნულებაზე, არა მხოლოდ ზოგად ბარათში [6]</w:t>
      </w:r>
    </w:p>
    <w:p>
      <w:pPr>
        <w:spacing w:after="70" w:line="245"/>
        <w:ind w:left="260" w:hanging="180"/>
      </w:pPr>
      <w:r>
        <w:rPr>
          <w:sz w:val="19"/>
          <w:szCs w:val="19"/>
        </w:rPr>
        <w:t xml:space="preserve">•  წონა ხელახლა ფასდება ყოველ ვიზიტზე მზარდი ბავშვისთვის, და დოზა ხელახლა გამოითვლება დაუყოვნებლივ, თუ წონა შეიცვალა 10%-ზე მეტით ბოლო გამოთვლის შემდეგ [8]</w:t>
      </w:r>
    </w:p>
    <w:p>
      <w:pPr>
        <w:spacing w:after="70" w:line="245"/>
        <w:ind w:left="260" w:hanging="180"/>
      </w:pPr>
      <w:r>
        <w:rPr>
          <w:sz w:val="19"/>
          <w:szCs w:val="19"/>
        </w:rPr>
        <w:t xml:space="preserve">•  ქრონიკული მედიკამენტისთვის, დოზირება ხელახლა ფასდება მინიმუმ ყოველ 3–6 თვეში ბავშვის ზრდასთან ერთად, კონკრეტული წონის-ცვლილების ტრიგერის გარეშეც [8]</w:t>
      </w:r>
    </w:p>
    <w:p>
      <w:pPr>
        <w:pStyle w:val="Heading1"/>
        <w:spacing w:after="120" w:before="240"/>
      </w:pPr>
      <w:r>
        <w:rPr>
          <w:b/>
          <w:bCs/>
          <w:color w:val="0E2647"/>
          <w:sz w:val="24"/>
          <w:szCs w:val="24"/>
        </w:rPr>
        <w:t xml:space="preserve">7. ორმაგი ზღვრის შემოწმება</w:t>
      </w:r>
    </w:p>
    <w:p>
      <w:pPr>
        <w:spacing w:after="110" w:line="260"/>
      </w:pPr>
      <w:r>
        <w:rPr>
          <w:b w:val="false"/>
          <w:bCs w:val="false"/>
          <w:i w:val="false"/>
          <w:iCs w:val="false"/>
          <w:sz w:val="20"/>
          <w:szCs w:val="20"/>
        </w:rPr>
        <w:t xml:space="preserve">წონაზე-დაფუძნებული მგ/კგ გამოთვლა მოწმდება ორ რეალურ ზღვართან, არა ერთთან: პედიატრიული მგ/კგ სახელმძღვანელოსთან და ზრდასრულის მაქსიმალურ ყოველდღიურ დოზასთან [5].</w:t>
      </w:r>
    </w:p>
    <w:p>
      <w:pPr>
        <w:spacing w:after="90" w:line="255"/>
        <w:ind w:left="340" w:hanging="340"/>
      </w:pPr>
      <w:r>
        <w:rPr>
          <w:b/>
          <w:bCs/>
          <w:color w:val="0E2647"/>
          <w:sz w:val="19"/>
          <w:szCs w:val="19"/>
        </w:rPr>
        <w:t xml:space="preserve">ნაბიჯი 1.  </w:t>
      </w:r>
      <w:r>
        <w:rPr>
          <w:sz w:val="19"/>
          <w:szCs w:val="19"/>
        </w:rPr>
        <w:t xml:space="preserve">გამოთვალეთ დოზა პაციენტის მიმდინარე წონის (კგ) და შესაბამისი მგ/კგ სახელმძღვანელოს გამოყენებით</w:t>
      </w:r>
    </w:p>
    <w:p>
      <w:pPr>
        <w:spacing w:after="90" w:line="255"/>
        <w:ind w:left="340" w:hanging="340"/>
      </w:pPr>
      <w:r>
        <w:rPr>
          <w:b/>
          <w:bCs/>
          <w:color w:val="0E2647"/>
          <w:sz w:val="19"/>
          <w:szCs w:val="19"/>
        </w:rPr>
        <w:t xml:space="preserve">ნაბიჯი 2.  </w:t>
      </w:r>
      <w:r>
        <w:rPr>
          <w:sz w:val="19"/>
          <w:szCs w:val="19"/>
        </w:rPr>
        <w:t xml:space="preserve">შეადარეთ მიღებული ჯამური დოზა ამ მედიკამენტის ზრდასრულის მაქსიმალურ დოზასთან — მათემატიკურად სწორი წონაზე გამოთვლა უფრო დიდი ან უფროსი ასაკის ბავშვისთვის მაინც შეიძლება აღემატებოდეს ამ ზღვარს [5]</w:t>
      </w:r>
    </w:p>
    <w:p>
      <w:pPr>
        <w:spacing w:after="90" w:line="255"/>
        <w:ind w:left="340" w:hanging="340"/>
      </w:pPr>
      <w:r>
        <w:rPr>
          <w:b/>
          <w:bCs/>
          <w:color w:val="0E2647"/>
          <w:sz w:val="19"/>
          <w:szCs w:val="19"/>
        </w:rPr>
        <w:t xml:space="preserve">ნაბიჯი 3.  </w:t>
      </w:r>
      <w:r>
        <w:rPr>
          <w:sz w:val="19"/>
          <w:szCs w:val="19"/>
        </w:rPr>
        <w:t xml:space="preserve">თუ გამოთვლილი დოზა უახლოვდება ან აღემატება ზრდასრულის მაქსიმუმს, გადაამოწმეთ ექიმთან გაგრძელებამდე, ავტომატურად გამოთვლილი მაჩვენებლის მიცემის ნაცვლად</w:t>
      </w:r>
    </w:p>
    <w:p>
      <w:pPr>
        <w:pBdr>
          <w:left w:val="single" w:color="C9A227" w:sz="16" w:space="10"/>
        </w:pBdr>
        <w:shd w:fill="FFF8E7" w:val="clear"/>
        <w:spacing w:after="160" w:before="110"/>
      </w:pPr>
      <w:r>
        <w:rPr>
          <w:i/>
          <w:iCs/>
          <w:color w:val="5C4A0A"/>
          <w:sz w:val="18"/>
          <w:szCs w:val="18"/>
        </w:rPr>
        <w:t xml:space="preserve">დოზირების შეცდომა ყოველთვის არ არის აშკარად არასწორი რიცხვი — არასწორად განთავსებული ათწილადი წერტილი (მაგ., 1.0 მგ წაკითხული როგორც 10 მგ) შეიძლება მოხვდეს ზრდასრულის ნორმალურ დოზირების დიაპაზონში და შეუმჩნეველი დარჩეს შემოწმებით, რომელიც მხოლოდ ზრდასრულის ნორმებთან ადარებს [9].</w:t>
      </w:r>
    </w:p>
    <w:p>
      <w:pPr>
        <w:pStyle w:val="Heading1"/>
        <w:spacing w:after="120" w:before="240"/>
      </w:pPr>
      <w:r>
        <w:rPr>
          <w:b/>
          <w:bCs/>
          <w:color w:val="0E2647"/>
          <w:sz w:val="24"/>
          <w:szCs w:val="24"/>
        </w:rPr>
        <w:t xml:space="preserve">8. დამოუკიდებელი გადამოწმება</w:t>
      </w:r>
    </w:p>
    <w:p>
      <w:pPr>
        <w:spacing w:after="110" w:line="260"/>
      </w:pPr>
      <w:r>
        <w:rPr>
          <w:b w:val="false"/>
          <w:bCs w:val="false"/>
          <w:i w:val="false"/>
          <w:iCs w:val="false"/>
          <w:sz w:val="20"/>
          <w:szCs w:val="20"/>
        </w:rPr>
        <w:t>ყოველი პედიატრიული წონაზე-დაფუძნებული დოზისთვის — და კონკრეტულად ნებისმიერი მაღალი რისკის მედიკამენტისთვის DENT-MED-01-ის მიხედვით — ორი კლინიცისტი დამოუკიდებლად ითვლის და ამოწმებს დოზას მიცემამდე, რეალური „ორი წყვილი თვალის“ პრინციპის შესაბამისად [8]. მეორე კლინიცისტი ითვლის დამოუკიდებლად, არა უბრალოდ პირველი კლინიცისტის რიცხვის დადასტურებით.</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დოზირების ჩანაწერი თავს არიდებს ორაზროვან შემოკლებას („მგ/კგ/დ“) და ანიჭებს უპირატესობას მკაფიო განცხადებას („მგ ერთ კგ-ზე დღეში“), ჯამური ყოველდღიური დოზისა და ერთჯერადი დოზის რაოდენობას შორის აღრევის თავიდან ასაცილებლად [8]</w:t>
      </w:r>
    </w:p>
    <w:p>
      <w:pPr>
        <w:spacing w:after="70" w:line="245"/>
        <w:ind w:left="260" w:hanging="180"/>
      </w:pPr>
      <w:r>
        <w:rPr>
          <w:sz w:val="19"/>
          <w:szCs w:val="19"/>
        </w:rPr>
        <w:t xml:space="preserve">•  სადაც გამოიყენება ელექტრონული გამოთვლის ხელსაწყო, მისი შედეგი მხოლოდ იმდენად საიმედოა, რამდენადაც შეყვანილი წონა — ხელსაწყო არ ცვლის დამოუკიდებელ გადამოწმებას [8]</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წონის დოკუმენტირების სისრულე (კგ, მიმდინარე ვიზიტი) ყოველი პედიატრიული მედიკამენტის დანიშნულებისთვის</w:t>
      </w:r>
    </w:p>
    <w:p>
      <w:pPr>
        <w:spacing w:after="70" w:line="245"/>
        <w:ind w:left="260" w:hanging="180"/>
      </w:pPr>
      <w:r>
        <w:rPr>
          <w:sz w:val="19"/>
          <w:szCs w:val="19"/>
        </w:rPr>
        <w:t xml:space="preserve">•  დამოუკიდებელი გადამოწმების შესაბამისობა პედიატრიული დოზებისთვის</w:t>
      </w:r>
    </w:p>
    <w:p>
      <w:pPr>
        <w:spacing w:after="70" w:line="245"/>
        <w:ind w:left="260" w:hanging="180"/>
      </w:pPr>
      <w:r>
        <w:rPr>
          <w:sz w:val="19"/>
          <w:szCs w:val="19"/>
        </w:rPr>
        <w:t xml:space="preserve">•  პაციენტამდე მიღწევამდე დაჭერილი დოზირების შეცდომები, თვალყურის დევნებული როგორც წამყვანი უსაფრთხოების მაჩვენებელი</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DENT-MED-01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r>
        <w:tc>
          <w:tcPr>
            <w:tcMar>
              <w:top w:type="dxa" w:w="70"/>
              <w:left w:type="dxa" w:w="100"/>
              <w:bottom w:type="dxa" w:w="70"/>
              <w:right w:type="dxa" w:w="90"/>
            </w:tcMar>
            <w:vAlign w:val="center"/>
          </w:tcPr>
          <w:p>
            <w:r>
              <w:rPr>
                <w:b/>
                <w:bCs/>
                <w:sz w:val="15"/>
                <w:szCs w:val="15"/>
              </w:rPr>
              <w:t>DENT-PED-01</w:t>
            </w:r>
          </w:p>
        </w:tc>
        <w:tc>
          <w:tcPr>
            <w:tcMar>
              <w:top w:type="dxa" w:w="70"/>
              <w:left w:type="dxa" w:w="100"/>
              <w:bottom w:type="dxa" w:w="70"/>
              <w:right w:type="dxa" w:w="90"/>
            </w:tcMar>
            <w:vAlign w:val="center"/>
          </w:tcPr>
          <w:p>
            <w:r>
              <w:rPr>
                <w:b w:val="false"/>
                <w:bCs w:val="false"/>
                <w:sz w:val="15"/>
                <w:szCs w:val="15"/>
              </w:rPr>
              <w:t xml:space="preserve">პედიატრიული თანხმობა და მეურვის ავტორიზაცია</w:t>
            </w:r>
          </w:p>
        </w:tc>
      </w:tr>
      <w:tr>
        <w:tc>
          <w:tcPr>
            <w:tcMar>
              <w:top w:type="dxa" w:w="70"/>
              <w:left w:type="dxa" w:w="100"/>
              <w:bottom w:type="dxa" w:w="70"/>
              <w:right w:type="dxa" w:w="90"/>
            </w:tcMar>
            <w:vAlign w:val="center"/>
          </w:tcPr>
          <w:p>
            <w:r>
              <w:rPr>
                <w:b/>
                <w:bCs/>
                <w:sz w:val="15"/>
                <w:szCs w:val="15"/>
              </w:rPr>
              <w:t>DENT-PS-02</w:t>
            </w:r>
          </w:p>
        </w:tc>
        <w:tc>
          <w:tcPr>
            <w:tcMar>
              <w:top w:type="dxa" w:w="70"/>
              <w:left w:type="dxa" w:w="100"/>
              <w:bottom w:type="dxa" w:w="70"/>
              <w:right w:type="dxa" w:w="90"/>
            </w:tcMar>
            <w:vAlign w:val="center"/>
          </w:tcPr>
          <w:p>
            <w:r>
              <w:rPr>
                <w:b w:val="false"/>
                <w:bCs w:val="false"/>
                <w:sz w:val="15"/>
                <w:szCs w:val="15"/>
              </w:rPr>
              <w:t xml:space="preserve">კლინიკური ინციდენტების შეტყობინება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[პედიატრიის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Best practice implementation project. Independent double-checking of high-risk medications among hospitalized pediatric patients. PubMed, 2026.</w:t>
      </w:r>
    </w:p>
    <w:p>
      <w:pPr>
        <w:spacing w:after="90" w:line="230"/>
        <w:ind w:left="320" w:hanging="320"/>
      </w:pPr>
      <w:r>
        <w:rPr>
          <w:b/>
          <w:bCs/>
          <w:color w:val="0E2647"/>
          <w:sz w:val="15"/>
          <w:szCs w:val="15"/>
        </w:rPr>
        <w:t xml:space="preserve">[2] </w:t>
      </w:r>
      <w:r>
        <w:rPr>
          <w:sz w:val="15"/>
          <w:szCs w:val="15"/>
        </w:rPr>
        <w:t xml:space="preserve">WHO. Medication Safety in High-Risk Situations. WHO, 2019.</w:t>
      </w:r>
    </w:p>
    <w:p>
      <w:pPr>
        <w:spacing w:after="90" w:line="230"/>
        <w:ind w:left="320" w:hanging="320"/>
      </w:pPr>
      <w:r>
        <w:rPr>
          <w:b/>
          <w:bCs/>
          <w:color w:val="0E2647"/>
          <w:sz w:val="15"/>
          <w:szCs w:val="15"/>
        </w:rPr>
        <w:t xml:space="preserve">[3] </w:t>
      </w:r>
      <w:r>
        <w:rPr>
          <w:sz w:val="15"/>
          <w:szCs w:val="15"/>
        </w:rPr>
        <w:t xml:space="preserve">FDB. Pediatric Dosing Errors Poster — დოზირების შეცდომების 80% გამოთვლის უზუსტობებს მიეწერება.</w:t>
      </w:r>
    </w:p>
    <w:p>
      <w:pPr>
        <w:spacing w:after="90" w:line="230"/>
        <w:ind w:left="320" w:hanging="320"/>
      </w:pPr>
      <w:r>
        <w:rPr>
          <w:b/>
          <w:bCs/>
          <w:color w:val="0E2647"/>
          <w:sz w:val="15"/>
          <w:szCs w:val="15"/>
        </w:rPr>
        <w:t xml:space="preserve">[4] </w:t>
      </w:r>
      <w:r>
        <w:rPr>
          <w:sz w:val="15"/>
          <w:szCs w:val="15"/>
        </w:rPr>
        <w:t xml:space="preserve">Fronzuto Law Group. Pediatric Medication Errors: children are not merely small adults. 2026.</w:t>
      </w:r>
    </w:p>
    <w:p>
      <w:pPr>
        <w:spacing w:after="90" w:line="230"/>
        <w:ind w:left="320" w:hanging="320"/>
      </w:pPr>
      <w:r>
        <w:rPr>
          <w:b/>
          <w:bCs/>
          <w:color w:val="0E2647"/>
          <w:sz w:val="15"/>
          <w:szCs w:val="15"/>
        </w:rPr>
        <w:t xml:space="preserve">[5] </w:t>
      </w:r>
      <w:r>
        <w:rPr>
          <w:sz w:val="15"/>
          <w:szCs w:val="15"/>
        </w:rPr>
        <w:t xml:space="preserve">NCBI Bookshelf. Methodological Challenges in Describing Medication Dosing Errors in Children — ორმაგი მგ/კგ და ზრდასრულის მაქსიმუმის შემოწმება.</w:t>
      </w:r>
    </w:p>
    <w:p>
      <w:pPr>
        <w:spacing w:after="90" w:line="230"/>
        <w:ind w:left="320" w:hanging="320"/>
      </w:pPr>
      <w:r>
        <w:rPr>
          <w:b/>
          <w:bCs/>
          <w:color w:val="0E2647"/>
          <w:sz w:val="15"/>
          <w:szCs w:val="15"/>
        </w:rPr>
        <w:t xml:space="preserve">[6] </w:t>
      </w:r>
      <w:r>
        <w:rPr>
          <w:sz w:val="15"/>
          <w:szCs w:val="15"/>
        </w:rPr>
        <w:t xml:space="preserve">Contemporary Pediatrics. Safety First: How to Avoid Missteps When Prescribing Medications — AAP-ის წონის დოკუმენტირების რეკომენდაცია. 2026.</w:t>
      </w:r>
    </w:p>
    <w:p>
      <w:pPr>
        <w:spacing w:after="90" w:line="230"/>
        <w:ind w:left="320" w:hanging="320"/>
      </w:pPr>
      <w:r>
        <w:rPr>
          <w:b/>
          <w:bCs/>
          <w:color w:val="0E2647"/>
          <w:sz w:val="15"/>
          <w:szCs w:val="15"/>
        </w:rPr>
        <w:t xml:space="preserve">[7] </w:t>
      </w:r>
      <w:r>
        <w:rPr>
          <w:sz w:val="15"/>
          <w:szCs w:val="15"/>
        </w:rPr>
        <w:t xml:space="preserve">Pennsylvania Patient Safety Authority. Medication Errors: Significance of Accurate Patient Weights.</w:t>
      </w:r>
    </w:p>
    <w:p>
      <w:pPr>
        <w:spacing w:after="90" w:line="230"/>
        <w:ind w:left="320" w:hanging="320"/>
      </w:pPr>
      <w:r>
        <w:rPr>
          <w:b/>
          <w:bCs/>
          <w:color w:val="0E2647"/>
          <w:sz w:val="15"/>
          <w:szCs w:val="15"/>
        </w:rPr>
        <w:t xml:space="preserve">[8] </w:t>
      </w:r>
      <w:r>
        <w:rPr>
          <w:sz w:val="15"/>
          <w:szCs w:val="15"/>
        </w:rPr>
        <w:t xml:space="preserve">Pediatric Medication Dosing: Mastering Weight-Based Calculations for Safety — ორმაგი გადამოწმება, ხელახალი გამოთვლის ინტერვალები, ISMP ჩანაწერის სტანდარტი. 2026.</w:t>
      </w:r>
    </w:p>
    <w:p>
      <w:pPr>
        <w:spacing w:after="90" w:line="230"/>
        <w:ind w:left="320" w:hanging="320"/>
      </w:pPr>
      <w:r>
        <w:rPr>
          <w:b/>
          <w:bCs/>
          <w:color w:val="0E2647"/>
          <w:sz w:val="15"/>
          <w:szCs w:val="15"/>
        </w:rPr>
        <w:t xml:space="preserve">[9] </w:t>
      </w:r>
      <w:r>
        <w:rPr>
          <w:sz w:val="15"/>
          <w:szCs w:val="15"/>
        </w:rPr>
        <w:t xml:space="preserve">NCBI Bookshelf. Methodological Challenges in Describing Medication Dosing Errors in Children — ათწილადი წერტილის არასწორად წაკითხვის მაგალითი.</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[პედიატრიის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DENT-PED-02-KA · პედიატრიული დოზირება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2026-09-14T12:37:03.410Z</dcterms:created>
  <dcterms:modified xsi:type="dcterms:W3CDTF">2026-09-14T12:37:03.417Z</dcterms:modified>
</cp:coreProperties>
</file>

<file path=docProps/custom.xml><?xml version="1.0" encoding="utf-8"?>
<Properties xmlns="http://schemas.openxmlformats.org/officeDocument/2006/custom-properties" xmlns:vt="http://schemas.openxmlformats.org/officeDocument/2006/docPropsVTypes"/>
</file>