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Patient Identification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DENT-PS-01-EN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Patient Identification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DENT-PS-01-KA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Acceptable and Unacceptable Identifiers · 7. Verification Technique</w:t>
      </w:r>
    </w:p>
    <w:p>
      <w:pPr>
        <w:spacing w:after="110" w:line="260"/>
      </w:pPr>
      <w:r>
        <w:rPr>
          <w:b w:val="false"/>
          <w:bCs w:val="false"/>
          <w:i w:val="false"/>
          <w:iCs w:val="false"/>
          <w:sz w:val="20"/>
          <w:szCs w:val="20"/>
        </w:rPr>
        <w:t xml:space="preserve">8. When Verification Is Required · 9. Special Populations</w:t>
      </w:r>
    </w:p>
    <w:p>
      <w:pPr>
        <w:spacing w:after="110" w:line="260"/>
      </w:pPr>
      <w:r>
        <w:rPr>
          <w:b w:val="false"/>
          <w:bCs w:val="false"/>
          <w:i w:val="false"/>
          <w:iCs w:val="false"/>
          <w:sz w:val="20"/>
          <w:szCs w:val="20"/>
        </w:rPr>
        <w:t xml:space="preserve">10. When Identifiers Do Not Match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reliably confirm a patient's identity before any care, treatment, medication, or procedure at [ORGANIZATION NAME], and to match that care to the correct individual — consistent with the Joint Commission's National Patient Safety Goal NPSG.01.01.01 and the WHO Collaborating Centre for Patient Safety Solutions [1–3].</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where identity confirmation affects safety — medication administration, specimen collection, procedures, and any treatment — across general consultation, oncology infusion, and pediatric care.</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Patient identifier — information directly associated with an individual that reliably identifies them as the person for whom a service is intended: name, date of birth, an assigned ID number, or other person-specific identifier [1]</w:t>
      </w:r>
    </w:p>
    <w:p>
      <w:pPr>
        <w:spacing w:after="70" w:line="245"/>
        <w:ind w:left="260" w:hanging="180"/>
      </w:pPr>
      <w:r>
        <w:rPr>
          <w:sz w:val="19"/>
          <w:szCs w:val="19"/>
        </w:rPr>
        <w:t xml:space="preserve">•  Open-ended questioning — asking a patient to state their own name and date of birth, rather than reading information aloud and asking for confirmation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Wrong-patient errors occur at virtually every stage of diagnosis and treatment, which is why patient identification was named the very first Joint Commission National Patient Safety Goal in 2003 and remains a current accreditation requirement, alongside the WHO's own global patient safety guidance [1–3]. At least two identifiers are used, every patient, every time — this is never skipped because a patient is recognized by sight or seems familiar.</w:t>
      </w:r>
    </w:p>
    <w:p>
      <w:pPr>
        <w:pBdr>
          <w:left w:val="single" w:color="C9A227" w:sz="16" w:space="10"/>
        </w:pBdr>
        <w:shd w:fill="FFF8E7" w:val="clear"/>
        <w:spacing w:after="160" w:before="110"/>
      </w:pPr>
      <w:r>
        <w:rPr>
          <w:i/>
          <w:iCs/>
          <w:color w:val="5C4A0A"/>
          <w:sz w:val="18"/>
          <w:szCs w:val="18"/>
        </w:rPr>
        <w:t xml:space="preserve">Neither identifier used may be the patient's room number or bed location — this is an explicit, real requirement, since room assignments change and are not unique to one person [3].</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Special population identification process (Section 9)</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Verification, every patient, every time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Mismatch investigation (Section 10)</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Acceptable and Unacceptable Identifiers</w:t>
      </w:r>
    </w:p>
    <w:p>
      <w:pPr>
        <w:spacing w:after="70" w:line="245"/>
        <w:ind w:left="260" w:hanging="180"/>
      </w:pPr>
      <w:r>
        <w:rPr>
          <w:sz w:val="19"/>
          <w:szCs w:val="19"/>
        </w:rPr>
        <w:t xml:space="preserve">•  Acceptable: full name, date of birth, an assigned medical record or ID number, telephone number, or another genuinely person-specific identifier [1, 4]</w:t>
      </w:r>
    </w:p>
    <w:p>
      <w:pPr>
        <w:spacing w:after="70" w:line="245"/>
        <w:ind w:left="260" w:hanging="180"/>
      </w:pPr>
      <w:r>
        <w:rPr>
          <w:sz w:val="19"/>
          <w:szCs w:val="19"/>
        </w:rPr>
        <w:t xml:space="preserve">•  Never acceptable, alone or combined: room number, bed location, or physical description [3–4]</w:t>
      </w:r>
    </w:p>
    <w:p>
      <w:pPr>
        <w:pStyle w:val="Heading1"/>
        <w:spacing w:after="120" w:before="240"/>
      </w:pPr>
      <w:r>
        <w:rPr>
          <w:b/>
          <w:bCs/>
          <w:color w:val="0E2647"/>
          <w:sz w:val="24"/>
          <w:szCs w:val="24"/>
        </w:rPr>
        <w:t xml:space="preserve">7. Verification Technique</w:t>
      </w:r>
    </w:p>
    <w:p>
      <w:pPr>
        <w:spacing w:after="90" w:line="255"/>
        <w:ind w:left="340" w:hanging="340"/>
      </w:pPr>
      <w:r>
        <w:rPr>
          <w:b/>
          <w:bCs/>
          <w:color w:val="0E2647"/>
          <w:sz w:val="19"/>
          <w:szCs w:val="19"/>
        </w:rPr>
        <w:t xml:space="preserve">Step 1.  </w:t>
      </w:r>
      <w:r>
        <w:rPr>
          <w:sz w:val="19"/>
          <w:szCs w:val="19"/>
        </w:rPr>
        <w:t xml:space="preserve">Ask the patient to state their own full name and date of birth — do not read the information aloud and ask for a yes/no confirmation, since a patient may agree passively even if the information is wrong [5]</w:t>
      </w:r>
    </w:p>
    <w:p>
      <w:pPr>
        <w:spacing w:after="90" w:line="255"/>
        <w:ind w:left="340" w:hanging="340"/>
      </w:pPr>
      <w:r>
        <w:rPr>
          <w:b/>
          <w:bCs/>
          <w:color w:val="0E2647"/>
          <w:sz w:val="19"/>
          <w:szCs w:val="19"/>
        </w:rPr>
        <w:t xml:space="preserve">Step 2.  </w:t>
      </w:r>
      <w:r>
        <w:rPr>
          <w:sz w:val="19"/>
          <w:szCs w:val="19"/>
        </w:rPr>
        <w:t xml:space="preserve">Compare what the patient states against the medical record, order, or specimen label</w:t>
      </w:r>
    </w:p>
    <w:p>
      <w:pPr>
        <w:spacing w:after="90" w:line="255"/>
        <w:ind w:left="340" w:hanging="340"/>
      </w:pPr>
      <w:r>
        <w:rPr>
          <w:b/>
          <w:bCs/>
          <w:color w:val="0E2647"/>
          <w:sz w:val="19"/>
          <w:szCs w:val="19"/>
        </w:rPr>
        <w:t xml:space="preserve">Step 3.  </w:t>
      </w:r>
      <w:r>
        <w:rPr>
          <w:sz w:val="19"/>
          <w:szCs w:val="19"/>
        </w:rPr>
        <w:t xml:space="preserve">Confirm both identifiers match exactly before proceeding with any medication, procedure, or specimen collection</w:t>
      </w:r>
    </w:p>
    <w:p>
      <w:pPr>
        <w:spacing w:after="90" w:line="255"/>
        <w:ind w:left="340" w:hanging="340"/>
      </w:pPr>
      <w:r>
        <w:rPr>
          <w:b/>
          <w:bCs/>
          <w:color w:val="0E2647"/>
          <w:sz w:val="19"/>
          <w:szCs w:val="19"/>
        </w:rPr>
        <w:t xml:space="preserve">Step 4.  </w:t>
      </w:r>
      <w:r>
        <w:rPr>
          <w:sz w:val="19"/>
          <w:szCs w:val="19"/>
        </w:rPr>
        <w:t xml:space="preserve">For specimen or blood collection, label the container with two identifiers in the patient's presence, at the point of collection — never afterward [1–2]</w:t>
      </w:r>
    </w:p>
    <w:p>
      <w:pPr>
        <w:pStyle w:val="Heading1"/>
        <w:spacing w:after="120" w:before="240"/>
      </w:pPr>
      <w:r>
        <w:rPr>
          <w:b/>
          <w:bCs/>
          <w:color w:val="0E2647"/>
          <w:sz w:val="24"/>
          <w:szCs w:val="24"/>
        </w:rPr>
        <w:t xml:space="preserve">8. When Verification Is Required</w:t>
      </w:r>
    </w:p>
    <w:p>
      <w:pPr>
        <w:spacing w:after="70" w:line="245"/>
        <w:ind w:left="260" w:hanging="180"/>
      </w:pPr>
      <w:r>
        <w:rPr>
          <w:sz w:val="19"/>
          <w:szCs w:val="19"/>
        </w:rPr>
        <w:t xml:space="preserve">•  Before any medication administration</w:t>
      </w:r>
    </w:p>
    <w:p>
      <w:pPr>
        <w:spacing w:after="70" w:line="245"/>
        <w:ind w:left="260" w:hanging="180"/>
      </w:pPr>
      <w:r>
        <w:rPr>
          <w:sz w:val="19"/>
          <w:szCs w:val="19"/>
        </w:rPr>
        <w:t xml:space="preserve">•  Before any specimen collection (see also SOP-LAB series)</w:t>
      </w:r>
    </w:p>
    <w:p>
      <w:pPr>
        <w:spacing w:after="70" w:line="245"/>
        <w:ind w:left="260" w:hanging="180"/>
      </w:pPr>
      <w:r>
        <w:rPr>
          <w:sz w:val="19"/>
          <w:szCs w:val="19"/>
        </w:rPr>
        <w:t xml:space="preserve">•  Before any procedure, injection, or treatment</w:t>
      </w:r>
    </w:p>
    <w:p>
      <w:pPr>
        <w:spacing w:after="70" w:line="245"/>
        <w:ind w:left="260" w:hanging="180"/>
      </w:pPr>
      <w:r>
        <w:rPr>
          <w:sz w:val="19"/>
          <w:szCs w:val="19"/>
        </w:rPr>
        <w:t xml:space="preserve">•  Before administering a chemotherapy infusion (in addition to the Tier 5 oncology-specific consent and safety procedures)</w:t>
      </w:r>
    </w:p>
    <w:p>
      <w:pPr>
        <w:pStyle w:val="Heading1"/>
        <w:spacing w:after="120" w:before="240"/>
      </w:pPr>
      <w:r>
        <w:rPr>
          <w:b/>
          <w:bCs/>
          <w:color w:val="0E2647"/>
          <w:sz w:val="24"/>
          <w:szCs w:val="24"/>
        </w:rPr>
        <w:t xml:space="preserve">9. Special Populations</w:t>
      </w:r>
    </w:p>
    <w:p>
      <w:pPr>
        <w:spacing w:after="70" w:line="245"/>
        <w:ind w:left="260" w:hanging="180"/>
      </w:pPr>
      <w:r>
        <w:rPr>
          <w:sz w:val="19"/>
          <w:szCs w:val="19"/>
        </w:rPr>
        <w:t xml:space="preserve">•  Newborns and infants are at genuinely higher risk of misidentification, due to their inability to communicate and lack of distinct features — identity is confirmed with the accompanying guardian, using the guardian-verification step already established under Tier 6, Pediatric Consent &amp; Guardian Authorization</w:t>
      </w:r>
    </w:p>
    <w:p>
      <w:pPr>
        <w:spacing w:after="70" w:line="245"/>
        <w:ind w:left="260" w:hanging="180"/>
      </w:pPr>
      <w:r>
        <w:rPr>
          <w:sz w:val="19"/>
          <w:szCs w:val="19"/>
        </w:rPr>
        <w:t xml:space="preserve">•  A non-communicative or confused patient is identified using a process [ORGANIZATION NAME] defines in advance for this situation — never left to individual staff judgment in the moment — based on patient safety, not convenience [4]</w:t>
      </w:r>
    </w:p>
    <w:p>
      <w:pPr>
        <w:spacing w:after="70" w:line="245"/>
        <w:ind w:left="260" w:hanging="180"/>
      </w:pPr>
      <w:r>
        <w:rPr>
          <w:sz w:val="19"/>
          <w:szCs w:val="19"/>
        </w:rPr>
        <w:t xml:space="preserve">•  An unidentified patient (e.g., an emergency presentation) is assigned a temporary identifier immediately, formally identified as soon as possible, and every record updated to the confirmed identity once verified [4]</w:t>
      </w:r>
    </w:p>
    <w:p>
      <w:pPr>
        <w:pStyle w:val="Heading1"/>
        <w:spacing w:after="120" w:before="240"/>
      </w:pPr>
      <w:r>
        <w:rPr>
          <w:b/>
          <w:bCs/>
          <w:color w:val="0E2647"/>
          <w:sz w:val="24"/>
          <w:szCs w:val="24"/>
        </w:rPr>
        <w:t xml:space="preserve">10. When Identifiers Do Not Match</w:t>
      </w:r>
    </w:p>
    <w:p>
      <w:pPr>
        <w:spacing w:after="110" w:line="260"/>
      </w:pPr>
      <w:r>
        <w:rPr>
          <w:b w:val="false"/>
          <w:bCs w:val="false"/>
          <w:i w:val="false"/>
          <w:iCs w:val="false"/>
          <w:sz w:val="20"/>
          <w:szCs w:val="20"/>
        </w:rPr>
        <w:t>If a patient's stated identifiers do not match the record, order, or label, staff stop and investigate before proceeding — the default response to any mismatch is to pause, never to continue on the assumption that the discrepancy is minor [5]. Every mismatch is documented on the Incident Log (Tier 8) and addressed under the Nonconformity Procedure (DENT-GOV-01), regardless of whether it was caught before reaching the patient.</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patient identification errors reaching the patient (real, non-negotiable target)</w:t>
      </w:r>
    </w:p>
    <w:p>
      <w:pPr>
        <w:spacing w:after="70" w:line="245"/>
        <w:ind w:left="260" w:hanging="180"/>
      </w:pPr>
      <w:r>
        <w:rPr>
          <w:sz w:val="19"/>
          <w:szCs w:val="19"/>
        </w:rPr>
        <w:t xml:space="preserve">•  Two-identifier verification compliance, observed during audit</w:t>
      </w:r>
    </w:p>
    <w:p>
      <w:pPr>
        <w:spacing w:after="70" w:line="245"/>
        <w:ind w:left="260" w:hanging="180"/>
      </w:pPr>
      <w:r>
        <w:rPr>
          <w:sz w:val="19"/>
          <w:szCs w:val="19"/>
        </w:rPr>
        <w:t xml:space="preserve">•  Near-miss identification discrepancies caught before reaching the patient</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DENT-PED-01</w:t>
            </w:r>
          </w:p>
        </w:tc>
        <w:tc>
          <w:tcPr>
            <w:tcMar>
              <w:top w:type="dxa" w:w="70"/>
              <w:left w:type="dxa" w:w="100"/>
              <w:bottom w:type="dxa" w:w="70"/>
              <w:right w:type="dxa" w:w="90"/>
            </w:tcMar>
            <w:vAlign w:val="center"/>
          </w:tcPr>
          <w:p>
            <w:r>
              <w:rPr>
                <w:b w:val="false"/>
                <w:bCs w:val="false"/>
                <w:sz w:val="15"/>
                <w:szCs w:val="15"/>
              </w:rPr>
              <w:t xml:space="preserve">Pediatric Consent &amp; Guardian Authorization (Tier 6)</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The Joint Commission. National Patient Safety Goals, Effective January 2026 — NPSG.01.01.01.</w:t>
      </w:r>
    </w:p>
    <w:p>
      <w:pPr>
        <w:spacing w:after="90" w:line="230"/>
        <w:ind w:left="320" w:hanging="320"/>
      </w:pPr>
      <w:r>
        <w:rPr>
          <w:b/>
          <w:bCs/>
          <w:color w:val="0E2647"/>
          <w:sz w:val="15"/>
          <w:szCs w:val="15"/>
        </w:rPr>
        <w:t xml:space="preserve">[2] </w:t>
      </w:r>
      <w:r>
        <w:rPr>
          <w:sz w:val="15"/>
          <w:szCs w:val="15"/>
        </w:rPr>
        <w:t xml:space="preserve">The Joint Commission. Two Patient Identifiers — Understanding the Requirements. Standards FAQ.</w:t>
      </w:r>
    </w:p>
    <w:p>
      <w:pPr>
        <w:spacing w:after="90" w:line="230"/>
        <w:ind w:left="320" w:hanging="320"/>
      </w:pPr>
      <w:r>
        <w:rPr>
          <w:b/>
          <w:bCs/>
          <w:color w:val="0E2647"/>
          <w:sz w:val="15"/>
          <w:szCs w:val="15"/>
        </w:rPr>
        <w:t xml:space="preserve">[3] </w:t>
      </w:r>
      <w:r>
        <w:rPr>
          <w:sz w:val="15"/>
          <w:szCs w:val="15"/>
        </w:rPr>
        <w:t xml:space="preserve">World Health Organization Collaborating Centre for Patient Safety Solutions. Patient Identification, Aide Memoire.</w:t>
      </w:r>
    </w:p>
    <w:p>
      <w:pPr>
        <w:spacing w:after="90" w:line="230"/>
        <w:ind w:left="320" w:hanging="320"/>
      </w:pPr>
      <w:r>
        <w:rPr>
          <w:b/>
          <w:bCs/>
          <w:color w:val="0E2647"/>
          <w:sz w:val="15"/>
          <w:szCs w:val="15"/>
        </w:rPr>
        <w:t xml:space="preserve">[4] </w:t>
      </w:r>
      <w:r>
        <w:rPr>
          <w:sz w:val="15"/>
          <w:szCs w:val="15"/>
        </w:rPr>
        <w:t xml:space="preserve">UTMB Health Resource Center. Two Forms of Identification. 2026.</w:t>
      </w:r>
    </w:p>
    <w:p>
      <w:pPr>
        <w:spacing w:after="90" w:line="230"/>
        <w:ind w:left="320" w:hanging="320"/>
      </w:pPr>
      <w:r>
        <w:rPr>
          <w:b/>
          <w:bCs/>
          <w:color w:val="0E2647"/>
          <w:sz w:val="15"/>
          <w:szCs w:val="15"/>
        </w:rPr>
        <w:t xml:space="preserve">[5] </w:t>
      </w:r>
      <w:r>
        <w:rPr>
          <w:sz w:val="15"/>
          <w:szCs w:val="15"/>
        </w:rPr>
        <w:t xml:space="preserve">Varsity Tutors. Use Two Patient Identifiers According to Safety Goals.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DENT-PS-01-EN · Patient Identification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2026-09-13T22:40:44.821Z</dcterms:created>
  <dcterms:modified xsi:type="dcterms:W3CDTF">2026-09-13T22:40:44.833Z</dcterms:modified>
</cp:coreProperties>
</file>

<file path=docProps/custom.xml><?xml version="1.0" encoding="utf-8"?>
<Properties xmlns="http://schemas.openxmlformats.org/officeDocument/2006/custom-properties" xmlns:vt="http://schemas.openxmlformats.org/officeDocument/2006/docPropsVTypes"/>
</file>