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Competence, Awareness and Training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Competence, Awareness and Training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Relationship to DENT-HR-01 · 4. Training Matrix by Role · 5. Effectiveness Evaluation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staff have the competence necessary for their roles and are aware of the Quality Policy and their contribution to QMS effectiveness, consistent with ISO 9001:2015 Clauses 7.2 and 7.3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role at [ORGANIZATION NAME] with a documented RACI responsibility anywhere in this pack.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3. Relationship to DENT-HR-01</w:t>
      </w:r>
    </w:p>
    <w:p>
      <w:pPr>
        <w:spacing w:after="110" w:line="260"/>
      </w:pPr>
      <w:r>
        <w:rPr>
          <w:sz w:val="20"/>
          <w:szCs w:val="20"/>
        </w:rPr>
        <w:t>DENT-HR-01 governs physician credentialing specifically. This procedure is the QMS-wide competence framework covering all roles, and adds the training matrix (Section 4) that DENT-HR-01 does not itself contain.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Training Matrix by Role</w:t>
      </w:r>
    </w:p>
    <w:p>
      <w:pPr>
        <w:spacing w:after="110" w:line="260"/>
      </w:pPr>
      <w:r>
        <w:rPr>
          <w:sz w:val="20"/>
          <w:szCs w:val="20"/>
        </w:rPr>
        <w:t xml:space="preserve">A real, complete matrix — built from the actual “Responsible” assignments across every RACI table in this pack, not a generic catalogue: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Core Training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Mode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Hand hygiene, standard precautions, fire safety, patient rights, incident reporting, data protection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Online,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Internal audit, management review, document control, risk register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Clinical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Patient ID, medication safety, informed consent, sharps/PEP, anaphylaxis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Module-specific leads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Per the module(s) selected (laboratory, imaging, oncology, pediatric, dialysis)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In-person, annual with competency check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Effectiveness Evaluation</w:t>
      </w:r>
    </w:p>
    <w:p>
      <w:pPr>
        <w:spacing w:after="110" w:line="260"/>
      </w:pPr>
      <w:r>
        <w:rPr>
          <w:sz w:val="20"/>
          <w:szCs w:val="20"/>
        </w:rPr>
        <w:t>Training is not considered complete on attendance alone — DENT-QMS-09-F02 documents a real competency check (direct observation, quiz, or demonstrated skill) appropriate to the content, consistent with the Six-Element Competency framework already used in SOP-LAB-11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Training matrix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Effectiveness evaluation records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Matrix by Role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Record and Effectiveness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7.2, Competence; Clause 7.3, Awareness.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DENT-QMS-09-EN · Competence &amp; Training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2026-09-15T01:40:20.979Z</dcterms:created>
  <dcterms:modified xsi:type="dcterms:W3CDTF">2026-09-15T01:40:20.979Z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