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Instrument Reprocessing &amp; Sterilization</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DENT-STR-01-EN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Instrument Reprocessing &amp; Sterilization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DENT-STR-01-KA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The Spaulding Classification · 7. Reprocessing Steps</w:t>
      </w:r>
    </w:p>
    <w:p>
      <w:pPr>
        <w:spacing w:after="110" w:line="260"/>
      </w:pPr>
      <w:r>
        <w:rPr>
          <w:b w:val="false"/>
          <w:bCs w:val="false"/>
          <w:i w:val="false"/>
          <w:iCs w:val="false"/>
          <w:sz w:val="20"/>
          <w:szCs w:val="20"/>
        </w:rPr>
        <w:t xml:space="preserve">8. Sterilization Monitoring · 9. Failed Load Management</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reusable instrument or device at [ORGANIZATION NAME] is cleaned, disinfected, or sterilized to the level genuinely required by its intended use, consistent with the CDC's 2008 Guideline for Disinfection and Sterilization in Healthcare Facilities and the Spaulding classification it adopted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reusable instrument and device at [ORGANIZATION NAME] — minor procedure instruments, diagnostic imaging probes, and any equipment reused between patients. It does not apply to single-use, disposable items, which are never reprocessed.</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Spaulding classification — the framework sorting a reusable device into critical, semicritical, or noncritical based on how it contacts the patient, determining the minimum required reprocessing level [2–3]</w:t>
      </w:r>
    </w:p>
    <w:p>
      <w:pPr>
        <w:spacing w:after="70" w:line="245"/>
        <w:ind w:left="260" w:hanging="180"/>
      </w:pPr>
      <w:r>
        <w:rPr>
          <w:sz w:val="19"/>
          <w:szCs w:val="19"/>
        </w:rPr>
        <w:t xml:space="preserve">•  High-level disinfection (HLD) — elimination of all microorganisms except small numbers of bacterial spores [4]</w:t>
      </w:r>
    </w:p>
    <w:p>
      <w:pPr>
        <w:spacing w:after="70" w:line="245"/>
        <w:ind w:left="260" w:hanging="180"/>
      </w:pPr>
      <w:r>
        <w:rPr>
          <w:sz w:val="19"/>
          <w:szCs w:val="19"/>
        </w:rPr>
        <w:t xml:space="preserve">•  Biological indicator (BI) — a spore-based test confirming a sterilization cycle actually achieved sterility, not merely that the cycle ran</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Getting a device's classification wrong — treating a semicritical device as noncritical, or skipping high-level disinfection because a device “looks clean” — is one of the most consistently cited root causes of healthcare-associated infection outbreaks traced to reprocessing failures [3]. Classification is determined by how the device is actually used, not by habit, convenience, or how it was handled previously.</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Device classification assignment (new equipment)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Biological indicator monitoring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Day-to-day reprocessing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Failed load investigation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The Spaulding Classification</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1700"/>
        <w:gridCol w:w="2600"/>
        <w:gridCol w:w="2600"/>
        <w:gridCol w:w="2100"/>
      </w:tblGrid>
      <w:tr>
        <w:tc>
          <w:tcPr>
            <w:shd w:fill="0E2647" w:val="clear"/>
            <w:tcMar>
              <w:top w:type="dxa" w:w="80"/>
              <w:left w:type="dxa" w:w="100"/>
              <w:bottom w:type="dxa" w:w="80"/>
              <w:right w:type="dxa" w:w="80"/>
            </w:tcMar>
          </w:tcPr>
          <w:p>
            <w:r>
              <w:rPr>
                <w:b/>
                <w:bCs/>
                <w:color w:val="FFFFFF"/>
                <w:sz w:val="14"/>
                <w:szCs w:val="14"/>
              </w:rPr>
              <w:t xml:space="preserve">Category</w:t>
            </w:r>
          </w:p>
        </w:tc>
        <w:tc>
          <w:tcPr>
            <w:shd w:fill="0E2647" w:val="clear"/>
            <w:tcMar>
              <w:top w:type="dxa" w:w="80"/>
              <w:left w:type="dxa" w:w="100"/>
              <w:bottom w:type="dxa" w:w="80"/>
              <w:right w:type="dxa" w:w="80"/>
            </w:tcMar>
          </w:tcPr>
          <w:p>
            <w:r>
              <w:rPr>
                <w:b/>
                <w:bCs/>
                <w:color w:val="FFFFFF"/>
                <w:sz w:val="14"/>
                <w:szCs w:val="14"/>
              </w:rPr>
              <w:t xml:space="preserve">Risk Basis</w:t>
            </w:r>
          </w:p>
        </w:tc>
        <w:tc>
          <w:tcPr>
            <w:shd w:fill="0E2647" w:val="clear"/>
            <w:tcMar>
              <w:top w:type="dxa" w:w="80"/>
              <w:left w:type="dxa" w:w="100"/>
              <w:bottom w:type="dxa" w:w="80"/>
              <w:right w:type="dxa" w:w="80"/>
            </w:tcMar>
          </w:tcPr>
          <w:p>
            <w:r>
              <w:rPr>
                <w:b/>
                <w:bCs/>
                <w:color w:val="FFFFFF"/>
                <w:sz w:val="14"/>
                <w:szCs w:val="14"/>
              </w:rPr>
              <w:t xml:space="preserve">Examples</w:t>
            </w:r>
          </w:p>
        </w:tc>
        <w:tc>
          <w:tcPr>
            <w:shd w:fill="0E2647" w:val="clear"/>
            <w:tcMar>
              <w:top w:type="dxa" w:w="80"/>
              <w:left w:type="dxa" w:w="100"/>
              <w:bottom w:type="dxa" w:w="80"/>
              <w:right w:type="dxa" w:w="80"/>
            </w:tcMar>
          </w:tcPr>
          <w:p>
            <w:r>
              <w:rPr>
                <w:b/>
                <w:bCs/>
                <w:color w:val="FFFFFF"/>
                <w:sz w:val="14"/>
                <w:szCs w:val="14"/>
              </w:rPr>
              <w:t xml:space="preserve">Required Level</w:t>
            </w:r>
          </w:p>
        </w:tc>
      </w:tr>
      <w:tr>
        <w:tc>
          <w:tcPr>
            <w:tcW w:type="dxa" w:w="1700"/>
            <w:tcMar>
              <w:top w:type="dxa" w:w="80"/>
              <w:left w:type="dxa" w:w="100"/>
              <w:bottom w:type="dxa" w:w="80"/>
              <w:right w:type="dxa" w:w="80"/>
            </w:tcMar>
            <w:vAlign w:val="center"/>
          </w:tcPr>
          <w:p>
            <w:r>
              <w:rPr>
                <w:b/>
                <w:bCs/>
                <w:sz w:val="15"/>
                <w:szCs w:val="15"/>
              </w:rPr>
              <w:t xml:space="preserve">Critical</w:t>
            </w:r>
          </w:p>
        </w:tc>
        <w:tc>
          <w:tcPr>
            <w:tcW w:type="dxa" w:w="2600"/>
            <w:tcMar>
              <w:top w:type="dxa" w:w="80"/>
              <w:left w:type="dxa" w:w="100"/>
              <w:bottom w:type="dxa" w:w="80"/>
              <w:right w:type="dxa" w:w="80"/>
            </w:tcMar>
            <w:vAlign w:val="center"/>
          </w:tcPr>
          <w:p>
            <w:r>
              <w:rPr>
                <w:sz w:val="13"/>
                <w:szCs w:val="13"/>
              </w:rPr>
              <w:t xml:space="preserve">Enters sterile tissue or the vascular system</w:t>
            </w:r>
          </w:p>
        </w:tc>
        <w:tc>
          <w:tcPr>
            <w:tcW w:type="dxa" w:w="2600"/>
            <w:tcMar>
              <w:top w:type="dxa" w:w="80"/>
              <w:left w:type="dxa" w:w="100"/>
              <w:bottom w:type="dxa" w:w="80"/>
              <w:right w:type="dxa" w:w="80"/>
            </w:tcMar>
            <w:vAlign w:val="center"/>
          </w:tcPr>
          <w:p>
            <w:r>
              <w:rPr>
                <w:sz w:val="13"/>
                <w:szCs w:val="13"/>
              </w:rPr>
              <w:t xml:space="preserve">Minor surgical instruments, biopsy devices</w:t>
            </w:r>
          </w:p>
        </w:tc>
        <w:tc>
          <w:tcPr>
            <w:tcW w:type="dxa" w:w="2100"/>
            <w:tcMar>
              <w:top w:type="dxa" w:w="80"/>
              <w:left w:type="dxa" w:w="100"/>
              <w:bottom w:type="dxa" w:w="80"/>
              <w:right w:type="dxa" w:w="80"/>
            </w:tcMar>
            <w:vAlign w:val="center"/>
          </w:tcPr>
          <w:p>
            <w:r>
              <w:rPr>
                <w:b/>
                <w:bCs/>
                <w:sz w:val="14"/>
                <w:szCs w:val="14"/>
              </w:rPr>
              <w:t xml:space="preserve">Sterilization [2–3]</w:t>
            </w:r>
          </w:p>
        </w:tc>
      </w:tr>
      <w:tr>
        <w:tc>
          <w:tcPr>
            <w:tcW w:type="dxa" w:w="1700"/>
            <w:tcMar>
              <w:top w:type="dxa" w:w="80"/>
              <w:left w:type="dxa" w:w="100"/>
              <w:bottom w:type="dxa" w:w="80"/>
              <w:right w:type="dxa" w:w="80"/>
            </w:tcMar>
            <w:vAlign w:val="center"/>
          </w:tcPr>
          <w:p>
            <w:r>
              <w:rPr>
                <w:b/>
                <w:bCs/>
                <w:sz w:val="15"/>
                <w:szCs w:val="15"/>
              </w:rPr>
              <w:t xml:space="preserve">Semicritical</w:t>
            </w:r>
          </w:p>
        </w:tc>
        <w:tc>
          <w:tcPr>
            <w:tcW w:type="dxa" w:w="2600"/>
            <w:tcMar>
              <w:top w:type="dxa" w:w="80"/>
              <w:left w:type="dxa" w:w="100"/>
              <w:bottom w:type="dxa" w:w="80"/>
              <w:right w:type="dxa" w:w="80"/>
            </w:tcMar>
            <w:vAlign w:val="center"/>
          </w:tcPr>
          <w:p>
            <w:r>
              <w:rPr>
                <w:sz w:val="13"/>
                <w:szCs w:val="13"/>
              </w:rPr>
              <w:t xml:space="preserve">Contacts mucous membranes or non-intact skin</w:t>
            </w:r>
          </w:p>
        </w:tc>
        <w:tc>
          <w:tcPr>
            <w:tcW w:type="dxa" w:w="2600"/>
            <w:tcMar>
              <w:top w:type="dxa" w:w="80"/>
              <w:left w:type="dxa" w:w="100"/>
              <w:bottom w:type="dxa" w:w="80"/>
              <w:right w:type="dxa" w:w="80"/>
            </w:tcMar>
            <w:vAlign w:val="center"/>
          </w:tcPr>
          <w:p>
            <w:r>
              <w:rPr>
                <w:sz w:val="13"/>
                <w:szCs w:val="13"/>
              </w:rPr>
              <w:t xml:space="preserve">Transvaginal/transrectal ultrasound probes</w:t>
            </w:r>
          </w:p>
        </w:tc>
        <w:tc>
          <w:tcPr>
            <w:tcW w:type="dxa" w:w="2100"/>
            <w:tcMar>
              <w:top w:type="dxa" w:w="80"/>
              <w:left w:type="dxa" w:w="100"/>
              <w:bottom w:type="dxa" w:w="80"/>
              <w:right w:type="dxa" w:w="80"/>
            </w:tcMar>
            <w:vAlign w:val="center"/>
          </w:tcPr>
          <w:p>
            <w:r>
              <w:rPr>
                <w:b/>
                <w:bCs/>
                <w:sz w:val="14"/>
                <w:szCs w:val="14"/>
              </w:rPr>
              <w:t xml:space="preserve">High-level disinfection, minimum [2–4]</w:t>
            </w:r>
          </w:p>
        </w:tc>
      </w:tr>
      <w:tr>
        <w:tc>
          <w:tcPr>
            <w:tcW w:type="dxa" w:w="1700"/>
            <w:tcMar>
              <w:top w:type="dxa" w:w="80"/>
              <w:left w:type="dxa" w:w="100"/>
              <w:bottom w:type="dxa" w:w="80"/>
              <w:right w:type="dxa" w:w="80"/>
            </w:tcMar>
            <w:vAlign w:val="center"/>
          </w:tcPr>
          <w:p>
            <w:r>
              <w:rPr>
                <w:b/>
                <w:bCs/>
                <w:sz w:val="15"/>
                <w:szCs w:val="15"/>
              </w:rPr>
              <w:t xml:space="preserve">Noncritical</w:t>
            </w:r>
          </w:p>
        </w:tc>
        <w:tc>
          <w:tcPr>
            <w:tcW w:type="dxa" w:w="2600"/>
            <w:tcMar>
              <w:top w:type="dxa" w:w="80"/>
              <w:left w:type="dxa" w:w="100"/>
              <w:bottom w:type="dxa" w:w="80"/>
              <w:right w:type="dxa" w:w="80"/>
            </w:tcMar>
            <w:vAlign w:val="center"/>
          </w:tcPr>
          <w:p>
            <w:r>
              <w:rPr>
                <w:sz w:val="13"/>
                <w:szCs w:val="13"/>
              </w:rPr>
              <w:t xml:space="preserve">Contacts only intact skin</w:t>
            </w:r>
          </w:p>
        </w:tc>
        <w:tc>
          <w:tcPr>
            <w:tcW w:type="dxa" w:w="2600"/>
            <w:tcMar>
              <w:top w:type="dxa" w:w="80"/>
              <w:left w:type="dxa" w:w="100"/>
              <w:bottom w:type="dxa" w:w="80"/>
              <w:right w:type="dxa" w:w="80"/>
            </w:tcMar>
            <w:vAlign w:val="center"/>
          </w:tcPr>
          <w:p>
            <w:r>
              <w:rPr>
                <w:sz w:val="13"/>
                <w:szCs w:val="13"/>
              </w:rPr>
              <w:t xml:space="preserve">Blood pressure cuffs, stethoscopes</w:t>
            </w:r>
          </w:p>
        </w:tc>
        <w:tc>
          <w:tcPr>
            <w:tcW w:type="dxa" w:w="2100"/>
            <w:tcMar>
              <w:top w:type="dxa" w:w="80"/>
              <w:left w:type="dxa" w:w="100"/>
              <w:bottom w:type="dxa" w:w="80"/>
              <w:right w:type="dxa" w:w="80"/>
            </w:tcMar>
            <w:vAlign w:val="center"/>
          </w:tcPr>
          <w:p>
            <w:r>
              <w:rPr>
                <w:b/>
                <w:bCs/>
                <w:sz w:val="14"/>
                <w:szCs w:val="14"/>
              </w:rPr>
              <w:t xml:space="preserve">Low/intermediate-level disinfection [2, 5]</w:t>
            </w:r>
          </w:p>
        </w:tc>
      </w:tr>
    </w:tbl>
    <w:p>
      <w:pPr>
        <w:pBdr>
          <w:left w:val="single" w:color="C9A227" w:sz="16" w:space="10"/>
        </w:pBdr>
        <w:shd w:fill="FFF8E7" w:val="clear"/>
        <w:spacing w:after="160" w:before="110"/>
      </w:pPr>
      <w:r>
        <w:rPr>
          <w:i/>
          <w:iCs/>
          <w:color w:val="5C4A0A"/>
          <w:sz w:val="18"/>
          <w:szCs w:val="18"/>
        </w:rPr>
        <w:t xml:space="preserve">Diagnostic imaging probes used transvaginally or transrectally are semicritical, not noncritical — a common misclassification. These require genuine high-level disinfection between every patient, not a surface wipe [2–4].</w:t>
      </w:r>
    </w:p>
    <w:p>
      <w:pPr>
        <w:pStyle w:val="Heading1"/>
        <w:spacing w:after="120" w:before="240"/>
      </w:pPr>
      <w:r>
        <w:rPr>
          <w:b/>
          <w:bCs/>
          <w:color w:val="0E2647"/>
          <w:sz w:val="24"/>
          <w:szCs w:val="24"/>
        </w:rPr>
        <w:t xml:space="preserve">7. Reprocessing Steps</w:t>
      </w:r>
    </w:p>
    <w:p>
      <w:pPr>
        <w:spacing w:after="90" w:line="255"/>
        <w:ind w:left="340" w:hanging="340"/>
      </w:pPr>
      <w:r>
        <w:rPr>
          <w:b/>
          <w:bCs/>
          <w:color w:val="0E2647"/>
          <w:sz w:val="19"/>
          <w:szCs w:val="19"/>
        </w:rPr>
        <w:t xml:space="preserve">Step 1.  </w:t>
      </w:r>
      <w:r>
        <w:rPr>
          <w:sz w:val="19"/>
          <w:szCs w:val="19"/>
        </w:rPr>
        <w:t xml:space="preserve">Transport used instruments to the reprocessing area in a covered, leak-proof container, kept separate from clean instruments</w:t>
      </w:r>
    </w:p>
    <w:p>
      <w:pPr>
        <w:spacing w:after="90" w:line="255"/>
        <w:ind w:left="340" w:hanging="340"/>
      </w:pPr>
      <w:r>
        <w:rPr>
          <w:b/>
          <w:bCs/>
          <w:color w:val="0E2647"/>
          <w:sz w:val="19"/>
          <w:szCs w:val="19"/>
        </w:rPr>
        <w:t xml:space="preserve">Step 2.  </w:t>
      </w:r>
      <w:r>
        <w:rPr>
          <w:sz w:val="19"/>
          <w:szCs w:val="19"/>
        </w:rPr>
        <w:t xml:space="preserve">Clean thoroughly to remove all visible soil before disinfection or sterilization — disinfection and sterilization cannot compensate for inadequate cleaning</w:t>
      </w:r>
    </w:p>
    <w:p>
      <w:pPr>
        <w:spacing w:after="90" w:line="255"/>
        <w:ind w:left="340" w:hanging="340"/>
      </w:pPr>
      <w:r>
        <w:rPr>
          <w:b/>
          <w:bCs/>
          <w:color w:val="0E2647"/>
          <w:sz w:val="19"/>
          <w:szCs w:val="19"/>
        </w:rPr>
        <w:t xml:space="preserve">Step 3.  </w:t>
      </w:r>
      <w:r>
        <w:rPr>
          <w:sz w:val="19"/>
          <w:szCs w:val="19"/>
        </w:rPr>
        <w:t xml:space="preserve">Inspect each instrument for damage or residual soil before proceeding</w:t>
      </w:r>
    </w:p>
    <w:p>
      <w:pPr>
        <w:spacing w:after="90" w:line="255"/>
        <w:ind w:left="340" w:hanging="340"/>
      </w:pPr>
      <w:r>
        <w:rPr>
          <w:b/>
          <w:bCs/>
          <w:color w:val="0E2647"/>
          <w:sz w:val="19"/>
          <w:szCs w:val="19"/>
        </w:rPr>
        <w:t xml:space="preserve">Step 4.  </w:t>
      </w:r>
      <w:r>
        <w:rPr>
          <w:sz w:val="19"/>
          <w:szCs w:val="19"/>
        </w:rPr>
        <w:t xml:space="preserve">Apply the reprocessing level required by the device's Spaulding classification (Section 6) — never a lower level than required</w:t>
      </w:r>
    </w:p>
    <w:p>
      <w:pPr>
        <w:spacing w:after="90" w:line="255"/>
        <w:ind w:left="340" w:hanging="340"/>
      </w:pPr>
      <w:r>
        <w:rPr>
          <w:b/>
          <w:bCs/>
          <w:color w:val="0E2647"/>
          <w:sz w:val="19"/>
          <w:szCs w:val="19"/>
        </w:rPr>
        <w:t xml:space="preserve">Step 5.  </w:t>
      </w:r>
      <w:r>
        <w:rPr>
          <w:sz w:val="19"/>
          <w:szCs w:val="19"/>
        </w:rPr>
        <w:t xml:space="preserve">Package critical items appropriately for the sterilization method used, maintaining sterility until point of use</w:t>
      </w:r>
    </w:p>
    <w:p>
      <w:pPr>
        <w:spacing w:after="90" w:line="255"/>
        <w:ind w:left="340" w:hanging="340"/>
      </w:pPr>
      <w:r>
        <w:rPr>
          <w:b/>
          <w:bCs/>
          <w:color w:val="0E2647"/>
          <w:sz w:val="19"/>
          <w:szCs w:val="19"/>
        </w:rPr>
        <w:t xml:space="preserve">Step 6.  </w:t>
      </w:r>
      <w:r>
        <w:rPr>
          <w:sz w:val="19"/>
          <w:szCs w:val="19"/>
        </w:rPr>
        <w:t xml:space="preserve">Store sterilized/disinfected items in a clean, dry area, and verify packaging integrity before use</w:t>
      </w:r>
    </w:p>
    <w:p>
      <w:pPr>
        <w:pStyle w:val="Heading1"/>
        <w:spacing w:after="120" w:before="240"/>
      </w:pPr>
      <w:r>
        <w:rPr>
          <w:b/>
          <w:bCs/>
          <w:color w:val="0E2647"/>
          <w:sz w:val="24"/>
          <w:szCs w:val="24"/>
        </w:rPr>
        <w:t xml:space="preserve">8. Sterilization Monitoring</w:t>
      </w:r>
    </w:p>
    <w:p>
      <w:pPr>
        <w:spacing w:after="110" w:line="260"/>
      </w:pPr>
      <w:r>
        <w:rPr>
          <w:b w:val="false"/>
          <w:bCs w:val="false"/>
          <w:i w:val="false"/>
          <w:iCs w:val="false"/>
          <w:sz w:val="20"/>
          <w:szCs w:val="20"/>
        </w:rPr>
        <w:t xml:space="preserve">Every sterilization cycle is monitored with a biological indicator at a defined minimum frequency, and chemical indicators are used on every load, since a completed cycle does not by itself confirm sterility was achieved. Biological indicator results are logged on the Sterilization Log (Tier 8) and reviewed before the sterilized items are released for use where the monitoring protocol requires load release confirmation.</w:t>
      </w:r>
    </w:p>
    <w:p>
      <w:pPr>
        <w:pStyle w:val="Heading1"/>
        <w:spacing w:after="120" w:before="240"/>
      </w:pPr>
      <w:r>
        <w:rPr>
          <w:b/>
          <w:bCs/>
          <w:color w:val="0E2647"/>
          <w:sz w:val="24"/>
          <w:szCs w:val="24"/>
        </w:rPr>
        <w:t xml:space="preserve">9. Failed Load Management</w:t>
      </w:r>
    </w:p>
    <w:p>
      <w:pPr>
        <w:spacing w:after="110" w:line="260"/>
      </w:pPr>
      <w:r>
        <w:rPr>
          <w:b w:val="false"/>
          <w:bCs w:val="false"/>
          <w:i w:val="false"/>
          <w:iCs w:val="false"/>
          <w:sz w:val="20"/>
          <w:szCs w:val="20"/>
        </w:rPr>
        <w:t>A failed biological or chemical indicator result means every item in that load is considered non-sterile, regardless of appearance. The load is not used; affected items are reprocessed, and the sterilizer itself is investigated under the Nonconformity Procedure (DENT-GOV-01) before further use.</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Endoscopes and other heat-sensitive semicritical devices follow manufacturer-specific high-level disinfection protocols, since not all semicritical devices tolerate the same reprocessing method</w:t>
      </w:r>
    </w:p>
    <w:p>
      <w:pPr>
        <w:spacing w:after="70" w:line="245"/>
        <w:ind w:left="260" w:hanging="180"/>
      </w:pPr>
      <w:r>
        <w:rPr>
          <w:sz w:val="19"/>
          <w:szCs w:val="19"/>
        </w:rPr>
        <w:t xml:space="preserve">•  Any instrument used in the oncology treatment area follows this procedure in addition to relevant Tier 5 hazardous drug contamination precautions, where applicable</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Biological indicator pass rate (target: 100%)</w:t>
      </w:r>
    </w:p>
    <w:p>
      <w:pPr>
        <w:spacing w:after="70" w:line="245"/>
        <w:ind w:left="260" w:hanging="180"/>
      </w:pPr>
      <w:r>
        <w:rPr>
          <w:sz w:val="19"/>
          <w:szCs w:val="19"/>
        </w:rPr>
        <w:t xml:space="preserve">•  Correct Spaulding classification applied, verified during internal audit</w:t>
      </w:r>
    </w:p>
    <w:p>
      <w:pPr>
        <w:spacing w:after="70" w:line="245"/>
        <w:ind w:left="260" w:hanging="180"/>
      </w:pPr>
      <w:r>
        <w:rPr>
          <w:sz w:val="19"/>
          <w:szCs w:val="19"/>
        </w:rPr>
        <w:t xml:space="preserve">•  Failed load investigation closure rate</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DENT-IPC-03</w:t>
            </w:r>
          </w:p>
        </w:tc>
        <w:tc>
          <w:tcPr>
            <w:tcMar>
              <w:top w:type="dxa" w:w="70"/>
              <w:left w:type="dxa" w:w="100"/>
              <w:bottom w:type="dxa" w:w="70"/>
              <w:right w:type="dxa" w:w="90"/>
            </w:tcMar>
            <w:vAlign w:val="center"/>
          </w:tcPr>
          <w:p>
            <w:r>
              <w:rPr>
                <w:b w:val="false"/>
                <w:bCs w:val="false"/>
                <w:sz w:val="15"/>
                <w:szCs w:val="15"/>
              </w:rPr>
              <w:t xml:space="preserve">Personal Protective Equipment</w:t>
            </w:r>
          </w:p>
        </w:tc>
      </w:tr>
      <w:tr>
        <w:tc>
          <w:tcPr>
            <w:tcMar>
              <w:top w:type="dxa" w:w="70"/>
              <w:left w:type="dxa" w:w="100"/>
              <w:bottom w:type="dxa" w:w="70"/>
              <w:right w:type="dxa" w:w="90"/>
            </w:tcMar>
            <w:vAlign w:val="center"/>
          </w:tcPr>
          <w:p>
            <w:r>
              <w:rPr>
                <w:b/>
                <w:bCs/>
                <w:sz w:val="15"/>
                <w:szCs w:val="15"/>
              </w:rPr>
              <w:t>DENT-GOV-01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Centers for Disease Control and Prevention/HICPAC. Guideline for Disinfection and Sterilization in Healthcare Facilities. 2008.</w:t>
      </w:r>
    </w:p>
    <w:p>
      <w:pPr>
        <w:spacing w:after="90" w:line="230"/>
        <w:ind w:left="320" w:hanging="320"/>
      </w:pPr>
      <w:r>
        <w:rPr>
          <w:b/>
          <w:bCs/>
          <w:color w:val="0E2647"/>
          <w:sz w:val="15"/>
          <w:szCs w:val="15"/>
        </w:rPr>
        <w:t xml:space="preserve">[2] </w:t>
      </w:r>
      <w:r>
        <w:rPr>
          <w:sz w:val="15"/>
          <w:szCs w:val="15"/>
        </w:rPr>
        <w:t xml:space="preserve">HFM Magazine. Using the Spaulding Classification Scheme for Sterile Processing Facilities. 2026.</w:t>
      </w:r>
    </w:p>
    <w:p>
      <w:pPr>
        <w:spacing w:after="90" w:line="230"/>
        <w:ind w:left="320" w:hanging="320"/>
      </w:pPr>
      <w:r>
        <w:rPr>
          <w:b/>
          <w:bCs/>
          <w:color w:val="0E2647"/>
          <w:sz w:val="15"/>
          <w:szCs w:val="15"/>
        </w:rPr>
        <w:t xml:space="preserve">[3] </w:t>
      </w:r>
      <w:r>
        <w:rPr>
          <w:sz w:val="15"/>
          <w:szCs w:val="15"/>
        </w:rPr>
        <w:t xml:space="preserve">CASRAI. High-Level Disinfection and the Spaulding Classification. 2026.</w:t>
      </w:r>
    </w:p>
    <w:p>
      <w:pPr>
        <w:spacing w:after="90" w:line="230"/>
        <w:ind w:left="320" w:hanging="320"/>
      </w:pPr>
      <w:r>
        <w:rPr>
          <w:b/>
          <w:bCs/>
          <w:color w:val="0E2647"/>
          <w:sz w:val="15"/>
          <w:szCs w:val="15"/>
        </w:rPr>
        <w:t xml:space="preserve">[4] </w:t>
      </w:r>
      <w:r>
        <w:rPr>
          <w:sz w:val="15"/>
          <w:szCs w:val="15"/>
        </w:rPr>
        <w:t xml:space="preserve">CS Medical. FAQ: What is Spaulding Classification? 2026.</w:t>
      </w:r>
    </w:p>
    <w:p>
      <w:pPr>
        <w:spacing w:after="90" w:line="230"/>
        <w:ind w:left="320" w:hanging="320"/>
      </w:pPr>
      <w:r>
        <w:rPr>
          <w:b/>
          <w:bCs/>
          <w:color w:val="0E2647"/>
          <w:sz w:val="15"/>
          <w:szCs w:val="15"/>
        </w:rPr>
        <w:t xml:space="preserve">[5] </w:t>
      </w:r>
      <w:r>
        <w:rPr>
          <w:sz w:val="15"/>
          <w:szCs w:val="15"/>
        </w:rPr>
        <w:t xml:space="preserve">AHCA/NCAL. Infection Preventionist Hot Topic Brief — Spaulding Criteria. 2024.</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DENT-STR-01-EN · Instrument Reprocessing</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2026-09-13T22:55:46.709Z</dcterms:created>
  <dcterms:modified xsi:type="dcterms:W3CDTF">2026-09-13T22:55:46.719Z</dcterms:modified>
</cp:coreProperties>
</file>

<file path=docProps/custom.xml><?xml version="1.0" encoding="utf-8"?>
<Properties xmlns="http://schemas.openxmlformats.org/officeDocument/2006/custom-properties" xmlns:vt="http://schemas.openxmlformats.org/officeDocument/2006/docPropsVTypes"/>
</file>