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Internal Audit Program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FW-GOV-02-EN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Internal Audit Program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FW-GOV-02-KA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Auditor Independence in a Small Organization · 7. Audit Schedule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Conducting the Audit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[ORGANIZATION NAME]'s quality management system is systematically, independently checked against its own requirements and against ISO 9001:2015, consistent with Clause 9.2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This SOP applies to every process and every SOP across [ORGANIZATION NAME]'s ISO 9001 Ready pack, Tiers 3–8. It establishes the audit program itself, not the findings of any individual audit.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Internal audit — a systematic, objective check of whether the QMS conforms to its own requirements, to ISO 9001, and is effectively implemented — not a fault-finding exercise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Nonconformity vs. observation — a nonconformity is a requirement genuinely not met; an observation is an improvement opportunity that does not itself represent a failed requirement — audit findings are recorded as one or the other, not conflated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An internal audit is not a punitive inspection — real, documented program failures include treating audits as fault-finding exercises rather than improvement opportunities, and this framing shapes how [ORGANIZATION NAME] conducts every audit under this SOP [5]. The real, non-negotiable rule underlying this entire program: an auditor never audits their own work or their own department [1–2, 6].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Independent Auditor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Department Lead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Audit schedule maintenance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Conducting the audit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Providing access/records for audit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Findings report to management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Agreed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Informed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Auditor Independence in a Small Organization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Auditor independence — never auditing your own work or your own department — is genuinely difficult in a small clinic where staff wear multiple roles [1–2, 6]. [ORGANIZATION NAME] resolves this real constraint through cross-functional rotation: the Quality Manager audits clinical areas they do not directly manage; a department lead from one area (e.g., laboratory) audits an unrelated area (e.g., reception/records) rather than their own; and where no genuinely independent internal auditor exists for a given area, an external or ASF-affiliated auditor is engaged for that specific audit — substituting a compromised internal audit is not an acceptable alternative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Audit Schedule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Audit frequency is risk-based: higher-risk processes and any area with a previous finding are audited more often than a low-risk, trouble-free area [3–4, 5]. At minimum, every process across [ORGANIZATION NAME]'s pack is audited at least once within any 12-month cycle.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2200"/>
        <w:gridCol w:w="32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Area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Minimum Frequency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Independent Auditor</w:t>
            </w:r>
          </w:p>
        </w:tc>
      </w:tr>
      <w:tr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Oncology infusion, dialysis, hazardous drug handling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Every 6 months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Quality Manager or external auditor</w:t>
            </w:r>
          </w:p>
        </w:tc>
      </w:tr>
      <w:tr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Laboratory, imaging, medication management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Annually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Cross-department internal auditor</w:t>
            </w:r>
          </w:p>
        </w:tc>
      </w:tr>
      <w:tr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General clinical, administrative, supplier records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Annually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Cross-department internal auditor</w:t>
            </w:r>
          </w:p>
        </w:tc>
      </w:tr>
      <w:tr>
        <w:tc>
          <w:tcPr>
            <w:tcW w:type="dxa" w:w="3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Any area with an open or recent finding</w:t>
            </w:r>
          </w:p>
        </w:tc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Next scheduled cycle, regardless of category</w:t>
            </w:r>
          </w:p>
        </w:tc>
        <w:tc>
          <w:tcPr>
            <w:tcW w:type="dxa" w:w="3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Same as original audit type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Conducting the Audit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Define the audit criteria (the relevant SOP and ISO 9001 clause) and scope before the audit begins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Conduct the audit against real evidence — records, observed practice, staff interviews — not merely a document review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Record each finding as either a nonconformity (a requirement genuinely not met) or an observation (an improvement opportunity), never conflating the two [5]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4.  </w:t>
      </w:r>
      <w:r>
        <w:rPr>
          <w:sz w:val="19"/>
          <w:szCs w:val="19"/>
        </w:rPr>
        <w:t>Report findings to management promptly, and route any nonconformity into the Nonconformity &amp; Corrective Action procedure (FW-GOV-01) — an internal audit finding is not closed by the audit itself [6]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5.  </w:t>
      </w:r>
      <w:r>
        <w:rPr>
          <w:sz w:val="19"/>
          <w:szCs w:val="19"/>
        </w:rPr>
        <w:t xml:space="preserve">Verify, at the next scheduled audit of that area, that any prior corrective action genuinely resolved the finding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 finding from a member complaint (FW-CC-03) or incident report (FW-PS-02) that reveals a systemic pattern may trigger an unscheduled audit of the relevant area, outside the routine cycle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Audit results feed directly into Management Review (FW-GOV-03) as a required input, not an optional summary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Audit schedule completion rate (target: 100% of planned audits conducted)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Findings closed with verified corrective action, not merely completed action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Recurrence rate of findings in the same area across consecutive audit cycles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Nonconformity &amp; Corrective Action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Management Review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Core Business Solutions. Clause 9.2 ISO 9001:2015 Explained — auditor independence, reporting lines.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ISMS.online. ISO 9001, Clause 9.2, Internal Audit — auditor qualifications and independence.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AuditorTrainingOnline. ISO 9001 Clause 9.2 Internal Audit — audit programme structure.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TechPrognosis. ISO 9001 Clause 9.2: A Comprehensive Guide to Internal Audits — risk-based frequency.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Glocert International. ISO 9001 Internal Audit Program — nonconformity vs. observation distinction.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Ecesis. ISO 9001 Clause 9.2: Internal Audit — common program failures, auditor-independence rule. 2026.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FW-GOV-02-EN · Internal Audit Program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2026-09-14T13:59:37.512Z</dcterms:created>
  <dcterms:modified xsi:type="dcterms:W3CDTF">2026-09-14T13:59:37.512Z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