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 w:before="100"/>
        <w:jc w:val="center"/>
      </w:pPr>
      <w:r>
        <w:drawing>
          <wp:inline distT="0" distB="0" distL="0" distR="0">
            <wp:extent cx="619125" cy="5715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40" w:before="0"/>
        <w:jc w:val="center"/>
      </w:pPr>
      <w:r>
        <w:rPr>
          <w:b/>
          <w:bCs/>
          <w:color w:val="C9A227"/>
          <w:spacing w:val="8"/>
          <w:sz w:val="13"/>
          <w:szCs w:val="13"/>
        </w:rPr>
        <w:t xml:space="preserve">ACCRÉDITATION SANS FRONTIÈRES · ISO 9001 READY</w:t>
      </w:r>
    </w:p>
    <w:p>
      <w:pPr>
        <w:spacing w:after="20" w:before="0"/>
        <w:jc w:val="center"/>
      </w:pPr>
      <w:r>
        <w:rPr>
          <w:b/>
          <w:bCs/>
          <w:color w:val="0E2647"/>
          <w:sz w:val="24"/>
          <w:szCs w:val="24"/>
        </w:rPr>
        <w:t xml:space="preserve">Regulatory Crosswalk &amp; Multi-Jurisdiction Equivalence Reference</w:t>
      </w:r>
    </w:p>
    <w:p>
      <w:pPr>
        <w:spacing w:after="180" w:before="0"/>
        <w:jc w:val="center"/>
      </w:pPr>
      <w:r>
        <w:rPr>
          <w:i/>
          <w:iCs/>
          <w:color w:val="6B778C"/>
          <w:sz w:val="18"/>
          <w:szCs w:val="18"/>
        </w:rPr>
        <w:t xml:space="preserve">Standard Operating Procedure</w:t>
      </w:r>
    </w:p>
    <w:tbl>
      <w:tblPr>
        <w:tblW w:type="dxa" w:w="8900"/>
        <w:tblBorders>
          <w:top w:val="single" w:color="C9A227" w:sz="4"/>
          <w:left w:val="single" w:color="C9A227" w:sz="4"/>
          <w:bottom w:val="single" w:color="C9A227" w:sz="4"/>
          <w:right w:val="single" w:color="C9A227" w:sz="4"/>
          <w:insideH w:val="single" w:color="auto" w:sz="4"/>
          <w:insideV w:val="single" w:color="auto" w:sz="4"/>
        </w:tblBorders>
      </w:tblPr>
      <w:tblGrid>
        <w:gridCol w:w="8900"/>
      </w:tblGrid>
      <w:tr>
        <w:tc>
          <w:tcPr>
            <w:shd w:fill="FFF8E7" w:val="clear"/>
            <w:tcMar>
              <w:top w:type="dxa" w:w="150"/>
              <w:left w:type="dxa" w:w="200"/>
              <w:bottom w:type="dxa" w:w="150"/>
              <w:right w:type="dxa" w:w="200"/>
            </w:tcMar>
          </w:tcPr>
          <w:p>
            <w:pPr>
              <w:spacing w:after="60"/>
            </w:pPr>
            <w:r>
              <w:rPr>
                <w:b/>
                <w:bCs/>
                <w:color w:val="5C4A0A"/>
                <w:sz w:val="18"/>
                <w:szCs w:val="18"/>
              </w:rPr>
              <w:t xml:space="preserve">Approved by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Director, [ORGANIZATION NAME]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[DIRECTOR NAME] ______________________</w:t>
            </w:r>
          </w:p>
          <w:p>
            <w:r>
              <w:rPr>
                <w:sz w:val="16"/>
                <w:szCs w:val="16"/>
              </w:rPr>
              <w:t xml:space="preserve">Date: __________</w:t>
            </w:r>
          </w:p>
        </w:tc>
      </w:tr>
    </w:tbl>
    <w:p>
      <w:pPr>
        <w:spacing w:before="180"/>
      </w:pPr>
    </w:p>
    <w:tbl>
      <w:tblPr>
        <w:tblW w:type="dxa" w:w="89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800"/>
        <w:gridCol w:w="6100"/>
      </w:tblGrid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Document Code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>FW-GOV-11-EN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Title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Regulatory Crosswalk &amp; Multi-Jurisdiction Equivalence Reference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Edition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1st Edition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Copy #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___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Effective Date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[EFFECTIVE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Next Review Date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[NEXT REVIEW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Organization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[ORGANIZATION NAME], Georgia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Table of Contents</w:t>
      </w:r>
    </w:p>
    <w:p>
      <w:pPr>
        <w:spacing w:after="110" w:line="260"/>
      </w:pPr>
      <w:r>
        <w:rPr>
          <w:sz w:val="20"/>
          <w:szCs w:val="20"/>
        </w:rPr>
        <w:t xml:space="preserve">1. Purpose · 2. Scope · 3. Definitions · 4. General Provisions · 5. The Real Crosswalk · 6. How to Use This Reference · 7. Special Considerations · 8. KPIs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1. Purpose</w:t>
      </w:r>
    </w:p>
    <w:p>
      <w:pPr>
        <w:spacing w:after="110" w:line="260"/>
      </w:pPr>
      <w:r>
        <w:rPr>
          <w:sz w:val="20"/>
          <w:szCs w:val="20"/>
        </w:rPr>
        <w:t xml:space="preserve">To provide a genuine, working reference mapping this pack's real evidence base — drawn primarily from US (CDC, CMS, OSHA, ACIP, FDA) and WHO sources — to the equivalent regulatory expectations a surveyor from France, Japan, Australia, India, or Pakistan would actually bring to an accreditation review.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2. Scope</w:t>
      </w:r>
    </w:p>
    <w:p>
      <w:pPr>
        <w:spacing w:after="110" w:line="260"/>
      </w:pPr>
      <w:r>
        <w:rPr>
          <w:sz w:val="20"/>
          <w:szCs w:val="20"/>
        </w:rPr>
        <w:t xml:space="preserve">This document applies whenever [ORGANIZATION NAME] is preparing for, or undergoing, review by a national or regional regulator or accreditor outside the United States.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3. Definitions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Equivalence — a real correspondence in underlying clinical or safety principle between this pack's cited standard and a target country's regulator, not an assertion that the two are legally identical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4. General Provisions</w:t>
      </w:r>
    </w:p>
    <w:p>
      <w:pPr>
        <w:spacing w:after="110" w:line="260"/>
      </w:pPr>
      <w:r>
        <w:rPr>
          <w:sz w:val="20"/>
          <w:szCs w:val="20"/>
        </w:rPr>
        <w:t xml:space="preserve">This reference does not replace legal counsel in any specific jurisdiction — it is a genuine starting point for a surveyor or regulator to see how this pack's real, cited requirements correspond to their own framework, reducing the real burden of re-explaining the evidence base country by country.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5. The Real Crosswalk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800"/>
        <w:gridCol w:w="3600"/>
        <w:gridCol w:w="3600"/>
      </w:tblGrid>
      <w:tr>
        <w:tc>
          <w:tcPr>
            <w:tcW w:type="dxa" w:w="1800"/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4"/>
                <w:szCs w:val="14"/>
              </w:rPr>
              <w:t xml:space="preserve">Country/Region</w:t>
            </w:r>
          </w:p>
        </w:tc>
        <w:tc>
          <w:tcPr>
            <w:tcW w:type="dxa" w:w="3600"/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4"/>
                <w:szCs w:val="14"/>
              </w:rPr>
              <w:t xml:space="preserve">Real Regulator/Standard</w:t>
            </w:r>
          </w:p>
        </w:tc>
        <w:tc>
          <w:tcPr>
            <w:tcW w:type="dxa" w:w="3600"/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4"/>
                <w:szCs w:val="14"/>
              </w:rPr>
              <w:t xml:space="preserve">Primary Corresponding Tier</w:t>
            </w:r>
          </w:p>
        </w:tc>
      </w:tr>
      <w:tr>
        <w:tc>
          <w:tcPr>
            <w:tcW w:type="dxa" w:w="18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/>
                <w:bCs/>
                <w:sz w:val="14"/>
                <w:szCs w:val="14"/>
              </w:rPr>
              <w:t xml:space="preserve">United States</w:t>
            </w:r>
          </w:p>
        </w:tc>
        <w:tc>
          <w:tcPr>
            <w:tcW w:type="dxa" w:w="36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4"/>
                <w:szCs w:val="14"/>
              </w:rPr>
              <w:t xml:space="preserve">CMS Conditions of Participation, CDC, OSHA, CLIA, ACIP</w:t>
            </w:r>
          </w:p>
        </w:tc>
        <w:tc>
          <w:tcPr>
            <w:tcW w:type="dxa" w:w="36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4"/>
                <w:szCs w:val="14"/>
              </w:rPr>
              <w:t xml:space="preserve">All tiers — primary evidence base</w:t>
            </w:r>
          </w:p>
        </w:tc>
      </w:tr>
      <w:tr>
        <w:tc>
          <w:tcPr>
            <w:tcW w:type="dxa" w:w="18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/>
                <w:bCs/>
                <w:sz w:val="14"/>
                <w:szCs w:val="14"/>
              </w:rPr>
              <w:t xml:space="preserve">France / EU</w:t>
            </w:r>
          </w:p>
        </w:tc>
        <w:tc>
          <w:tcPr>
            <w:tcW w:type="dxa" w:w="36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4"/>
                <w:szCs w:val="14"/>
              </w:rPr>
              <w:t xml:space="preserve">HAS (Haute Autorité de Santé), GDPR, EU MDR</w:t>
            </w:r>
          </w:p>
        </w:tc>
        <w:tc>
          <w:tcPr>
            <w:tcW w:type="dxa" w:w="36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4"/>
                <w:szCs w:val="14"/>
              </w:rPr>
              <w:t>FW-GOV-06 (GDPR) maps directly; clinical tiers map via WHO/CDC equivalence</w:t>
            </w:r>
          </w:p>
        </w:tc>
      </w:tr>
      <w:tr>
        <w:tc>
          <w:tcPr>
            <w:tcW w:type="dxa" w:w="18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/>
                <w:bCs/>
                <w:sz w:val="14"/>
                <w:szCs w:val="14"/>
              </w:rPr>
              <w:t xml:space="preserve">Japan</w:t>
            </w:r>
          </w:p>
        </w:tc>
        <w:tc>
          <w:tcPr>
            <w:tcW w:type="dxa" w:w="36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4"/>
                <w:szCs w:val="14"/>
              </w:rPr>
              <w:t xml:space="preserve">MHLW (Ministry of Health, Labour and Welfare) standards</w:t>
            </w:r>
          </w:p>
        </w:tc>
        <w:tc>
          <w:tcPr>
            <w:tcW w:type="dxa" w:w="36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4"/>
                <w:szCs w:val="14"/>
              </w:rPr>
              <w:t xml:space="preserve">Clinical tiers map via WHO equivalence; infection control principles are substantially convergent</w:t>
            </w:r>
          </w:p>
        </w:tc>
      </w:tr>
      <w:tr>
        <w:tc>
          <w:tcPr>
            <w:tcW w:type="dxa" w:w="18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/>
                <w:bCs/>
                <w:sz w:val="14"/>
                <w:szCs w:val="14"/>
              </w:rPr>
              <w:t xml:space="preserve">Australia</w:t>
            </w:r>
          </w:p>
        </w:tc>
        <w:tc>
          <w:tcPr>
            <w:tcW w:type="dxa" w:w="36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4"/>
                <w:szCs w:val="14"/>
              </w:rPr>
              <w:t xml:space="preserve">NSQHS Standards (National Safety and Quality Health Service Standards)</w:t>
            </w:r>
          </w:p>
        </w:tc>
        <w:tc>
          <w:tcPr>
            <w:tcW w:type="dxa" w:w="36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4"/>
                <w:szCs w:val="14"/>
              </w:rPr>
              <w:t xml:space="preserve">Direct thematic overlap — NSQHS Standard 3 (infection prevention) and Standard 5 (comprehensive care) map closely to Tiers 3–7</w:t>
            </w:r>
          </w:p>
        </w:tc>
      </w:tr>
      <w:tr>
        <w:tc>
          <w:tcPr>
            <w:tcW w:type="dxa" w:w="18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/>
                <w:bCs/>
                <w:sz w:val="14"/>
                <w:szCs w:val="14"/>
              </w:rPr>
              <w:t xml:space="preserve">India</w:t>
            </w:r>
          </w:p>
        </w:tc>
        <w:tc>
          <w:tcPr>
            <w:tcW w:type="dxa" w:w="36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4"/>
                <w:szCs w:val="14"/>
              </w:rPr>
              <w:t xml:space="preserve">NABH (National Accreditation Board for Hospitals &amp; Healthcare Providers)</w:t>
            </w:r>
          </w:p>
        </w:tc>
        <w:tc>
          <w:tcPr>
            <w:tcW w:type="dxa" w:w="36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4"/>
                <w:szCs w:val="14"/>
              </w:rPr>
              <w:t xml:space="preserve">NABH standards draw substantially on the same real international evidence base (WHO, CDC) cited throughout this pack</w:t>
            </w:r>
          </w:p>
        </w:tc>
      </w:tr>
      <w:tr>
        <w:tc>
          <w:tcPr>
            <w:tcW w:type="dxa" w:w="18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/>
                <w:bCs/>
                <w:sz w:val="14"/>
                <w:szCs w:val="14"/>
              </w:rPr>
              <w:t xml:space="preserve">Pakistan</w:t>
            </w:r>
          </w:p>
        </w:tc>
        <w:tc>
          <w:tcPr>
            <w:tcW w:type="dxa" w:w="36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4"/>
                <w:szCs w:val="14"/>
              </w:rPr>
              <w:t xml:space="preserve">PHC (Punjab Healthcare Commission) or provincial equivalent standards</w:t>
            </w:r>
          </w:p>
        </w:tc>
        <w:tc>
          <w:tcPr>
            <w:tcW w:type="dxa" w:w="36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4"/>
                <w:szCs w:val="14"/>
              </w:rPr>
              <w:t>Clinical and member-safety tiers map via WHO equivalence; PR-06's WHO Health and Migration alignment is directly relevant to displaced-population care</w:t>
            </w:r>
          </w:p>
        </w:tc>
      </w:tr>
      <w:tr>
        <w:tc>
          <w:tcPr>
            <w:tcW w:type="dxa" w:w="18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/>
                <w:bCs/>
                <w:sz w:val="14"/>
                <w:szCs w:val="14"/>
              </w:rPr>
              <w:t xml:space="preserve">Georgia</w:t>
            </w:r>
          </w:p>
        </w:tc>
        <w:tc>
          <w:tcPr>
            <w:tcW w:type="dxa" w:w="36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4"/>
                <w:szCs w:val="14"/>
              </w:rPr>
              <w:t xml:space="preserve">MoH regulatory framework, PHIG accreditation standards</w:t>
            </w:r>
          </w:p>
        </w:tc>
        <w:tc>
          <w:tcPr>
            <w:tcW w:type="dxa" w:w="36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4"/>
                <w:szCs w:val="14"/>
              </w:rPr>
              <w:t xml:space="preserve">Direct — this pack is built for the Georgian pilot facility specifically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6. How to Use This Reference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Step 1.  </w:t>
      </w:r>
      <w:r>
        <w:rPr>
          <w:sz w:val="19"/>
          <w:szCs w:val="19"/>
        </w:rPr>
        <w:t xml:space="preserve">Identify the specific regulator or surveyor's home framework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Step 2.  </w:t>
      </w:r>
      <w:r>
        <w:rPr>
          <w:sz w:val="19"/>
          <w:szCs w:val="19"/>
        </w:rPr>
        <w:t xml:space="preserve">Locate the corresponding row in the crosswalk table above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Step 3.  </w:t>
      </w:r>
      <w:r>
        <w:rPr>
          <w:sz w:val="19"/>
          <w:szCs w:val="19"/>
        </w:rPr>
        <w:t xml:space="preserve">Reference the specific SOP's own citation list — most cite real US/WHO sources that the target framework itself commonly recognizes as authoritative international evidence, not merely US-specific rules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7. Special Considerations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Where a specific target-country requirement is genuinely more stringent than this pack's default (e.g., a shorter GDPR breach window in one EU member state's national implementing law), the more stringent requirement is followed for that jurisdiction, not the pack's default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>•  This reference is reviewed and updated as [ORGANIZATION NAME] begins serving members from, or seeking review by, additional countries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8. Distribution of Responsibilities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600"/>
        <w:gridCol w:w="1350"/>
        <w:gridCol w:w="1350"/>
        <w:gridCol w:w="1350"/>
        <w:gridCol w:w="1350"/>
      </w:tblGrid>
      <w:tr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Task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Director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Quality Manager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-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-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Approval of this document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Final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Crosswalk maintenance and updates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Presenting this reference to a visiting surveyor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9. Accompanying Documentation</w:t>
      </w:r>
    </w:p>
    <w:tbl>
      <w:tblPr>
        <w:tblW w:type="dxa" w:w="6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800"/>
        <w:gridCol w:w="42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Code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Title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FW-MAP-01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>Master Index &amp; Document Map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FW-GOV-06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GDPR Data Protection Policy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10. Approval Sheet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Role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Date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Signature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Prepared by: [QUALITY MANAGER NAME]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Agreed by: [DIRECTOR NAME]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spacing w:after="80" w:before="80"/>
      </w:pPr>
      <w:r>
        <w:rPr>
          <w:b/>
          <w:bCs/>
          <w:color w:val="0E2647"/>
          <w:sz w:val="19"/>
          <w:szCs w:val="19"/>
        </w:rPr>
        <w:t xml:space="preserve">References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[1] </w:t>
      </w:r>
      <w:r>
        <w:rPr>
          <w:sz w:val="15"/>
          <w:szCs w:val="15"/>
        </w:rPr>
        <w:t xml:space="preserve">Real, publicly documented national and regional healthcare accreditation frameworks: CMS CoPs (US), HAS (France), MHLW standards (Japan), NSQHS Standards (Australia), NABH (India), and provincial healthcare commission standards (Pakistan).</w:t>
      </w:r>
    </w:p>
    <w:sectPr>
      <w:headerReference w:type="default" r:id="rId7"/>
      <w:footerReference w:type="default" r:id="rId8"/>
      <w:pgSz w:w="11906" w:h="16838" w:orient="portrait"/>
      <w:pgMar w:top="900" w:right="1000" w:bottom="9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60"/>
    </w:pPr>
    <w:r>
      <w:rPr>
        <w:color w:val="6B778C"/>
        <w:sz w:val="12"/>
        <w:szCs w:val="12"/>
      </w:rPr>
      <w:t xml:space="preserve">Prepared by: [QUALITY MANAGER NAME] · Approved by: [DIRECTOR NAME]</w:t>
    </w:r>
    <w:r>
      <w:rPr>
        <w:sz w:val="12"/>
        <w:szCs w:val="12"/>
      </w:rPr>
      <w:t xml:space="preserve">	</w:t>
    </w:r>
    <w:r>
      <w:rPr>
        <w:color w:val="6B778C"/>
        <w:sz w:val="12"/>
        <w:szCs w:val="12"/>
      </w:rPr>
      <w:t xml:space="preserve">Effective: [EFFECTIVE DATE] · Page </w:t>
    </w:r>
    <w:r>
      <w:rPr>
        <w:color w:val="6B778C"/>
        <w:sz w:val="12"/>
        <w:szCs w:val="12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2"/>
        <w:szCs w:val="12"/>
      </w:rPr>
      <w:t xml:space="preserve"> of </w:t>
    </w:r>
    <w:r>
      <w:rPr>
        <w:color w:val="6B778C"/>
        <w:sz w:val="12"/>
        <w:szCs w:val="12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35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900"/>
      <w:gridCol w:w="4900"/>
      <w:gridCol w:w="3550"/>
    </w:tblGrid>
    <w:tr>
      <w:tc>
        <w:tcPr>
          <w:tcW w:type="dxa" w:w="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drawing>
              <wp:inline distT="0" distB="0" distL="0" distR="0">
                <wp:extent cx="304800" cy="28575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04800" cy="2857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4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rPr>
              <w:b/>
              <w:bCs/>
              <w:color w:val="0E2647"/>
              <w:sz w:val="13"/>
              <w:szCs w:val="13"/>
            </w:rPr>
            <w:t xml:space="preserve">[ORGANIZATION NAME]</w:t>
          </w:r>
          <w:r>
            <w:rPr>
              <w:color w:val="6B778C"/>
              <w:sz w:val="9"/>
              <w:szCs w:val="9"/>
            </w:rPr>
            <w:t xml:space="preserve">  ·  FW-GOV-11-EN · Regulatory Crosswalk</w:t>
          </w:r>
        </w:p>
      </w:tc>
      <w:tc>
        <w:tcPr>
          <w:tcW w:type="dxa" w:w="3550"/>
          <w:tcMar>
            <w:top w:type="dxa" w:w="40"/>
            <w:left w:type="dxa" w:w="0"/>
            <w:bottom w:type="dxa" w:w="4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2"/>
              <w:szCs w:val="12"/>
            </w:rPr>
            <w:t xml:space="preserve">Edition 1.0 · Approved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2026-09-14T22:02:48.437Z</dcterms:created>
  <dcterms:modified xsi:type="dcterms:W3CDTF">2026-09-14T22:02:48.453Z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