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Interpreter &amp; Language Access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FW-PR-02-EN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Interpreter &amp; Language Access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FW-PR-02-KA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Qualified Interpreter — The Real Standard · 7. Notice of Availability</w:t>
      </w:r>
    </w:p>
    <w:p>
      <w:pPr>
        <w:spacing w:after="110" w:line="260"/>
      </w:pPr>
      <w:r>
        <w:rPr>
          <w:sz w:val="20"/>
          <w:szCs w:val="20"/>
        </w:rPr>
        <w:t xml:space="preserve">8. Vital Document Translation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every member with limited language proficiency at [ORGANIZATION NAME] receives real, qualified interpretation, consistent with the real legal obligations under Title VI, Executive Order 13166, and Section 1557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member encounter at [ORGANIZATION NAME] where language is a barrier to communication.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Qualified interpreter — a real, defined standard: proficient in speaking and understanding both English and the relevant language, able to interpret effectively, accurately, and impartially — not simply someone who happens to speak both languages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family member, especially a minor, is never used as the primary interpreter for a clinical encounter — the real, qualified-interpreter standard exists precisely because accuracy and impartiality in a medical context cannot be assumed from informal bilingual ability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Interpreter service arrangement (contract/remote)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Identifying LEP need at intake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Requesting and using the interpreter during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Qualified Interpreter — The Real Standard</w:t>
      </w:r>
    </w:p>
    <w:p>
      <w:pPr>
        <w:spacing w:after="110" w:line="260"/>
      </w:pPr>
      <w:r>
        <w:rPr>
          <w:sz w:val="20"/>
          <w:szCs w:val="20"/>
        </w:rPr>
        <w:t xml:space="preserve">[ORGANIZATION NAME] may use in-person or remote (video/audio) interpreters, staff or contracted, but every interpreter used meets the real qualification standard — proficiency, accuracy, and impartiality — in every case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Identify language need at intake, not partway through a clinical encounter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Arrange a qualified interpreter before proceeding with any consent, diagnosis, or treatment discussion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Document that interpretation was provided and by whom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Notice of Availability</w:t>
      </w:r>
    </w:p>
    <w:p>
      <w:pPr>
        <w:spacing w:after="110" w:line="260"/>
      </w:pPr>
      <w:r>
        <w:rPr>
          <w:sz w:val="20"/>
          <w:szCs w:val="20"/>
        </w:rPr>
        <w:t>[ORGANIZATION NAME] posts real, required notices informing members that language assistance is available free of charge, how to request it, and how to file a complaint about language access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Vital Document Translation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Real vital documents requiring translation: consent forms, member rights and responsibilities, complaint procedures, and intake forms with health history questions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real, applicable threshold for which languages require translated vital documents: 5% of the eligible population or 1,000 individuals, whichever is less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Interpreter services are genuinely accessible at every point of care, not only for a scheduled initial visit — a walk-in or urgent encounter with an LEP member still requires a qualified interpreter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Using AI-generated interpretation is governed by real, current task-force guidance and is not treated as automatically equivalent to a qualified human interpreter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Qualified interpreter use rate for identified LEP encounters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Vital documents available in the real, required threshold languages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Notice of Availability posted and current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Member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FW-RIGHTS-01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CCHI. Language Access Requirements — Title VI, AI interpreting guidance.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>TechTarget MemberEngagementHIT. Understanding Member Rights to Medical Interpreters, Language Access — Executive Order 13166.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Health Law/NHeLP. What is required under Title VI and Section 1557 — qualified interpreter definition.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Link Translations. Language Access Compliance for Healthcare Organizations — vital documents, 5%/1,000 threshold.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AMA Journal of Ethics. Clinicians' Obligations to Use Qualified Medical Interpreters — accessibility at all points of care. 2017.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FW-PR-02-EN · Interpreter &amp; Language Access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2026-09-14T20:35:28.068Z</dcterms:created>
  <dcterms:modified xsi:type="dcterms:W3CDTF">2026-09-14T20:35:28.068Z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