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0"/>
          <w:szCs w:val="20"/>
        </w:rPr>
        <w:t xml:space="preserve">კლინიკური ინციდენტისა და არასასურველი მოვლენის შეტყობინება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FW-PS-02-KA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კლინიკური ინციდენტისა და არასასურველი მოვლენის შეტყობინება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b w:val="false"/>
          <w:bCs w:val="false"/>
          <w:i w:val="false"/>
          <w:iCs w:val="false"/>
          <w:sz w:val="20"/>
          <w:szCs w:val="20"/>
        </w:rPr>
        <w:t xml:space="preserve">1. მიზანი · 2. მოქმედების სფერო · 3. განმარტებები და შემოკლებები</w:t>
      </w:r>
    </w:p>
    <w:p>
      <w:pPr>
        <w:spacing w:after="110" w:line="260"/>
      </w:pPr>
      <w:r>
        <w:rPr>
          <w:b w:val="false"/>
          <w:bCs w:val="false"/>
          <w:i w:val="false"/>
          <w:iCs w:val="false"/>
          <w:sz w:val="20"/>
          <w:szCs w:val="20"/>
        </w:rPr>
        <w:t xml:space="preserve">4. ზოგადი დებულებები · 5. პასუხისმგებლობების განაწილება</w:t>
      </w:r>
    </w:p>
    <w:p>
      <w:pPr>
        <w:spacing w:after="110" w:line="260"/>
      </w:pPr>
      <w:r>
        <w:rPr>
          <w:b w:val="false"/>
          <w:bCs w:val="false"/>
          <w:i w:val="false"/>
          <w:iCs w:val="false"/>
          <w:sz w:val="20"/>
          <w:szCs w:val="20"/>
        </w:rPr>
        <w:t xml:space="preserve">6. მოვლენების კლასიფიკაცია · 7. შეტყობინების ეტაპები</w:t>
      </w:r>
    </w:p>
    <w:p>
      <w:pPr>
        <w:spacing w:after="110" w:line="260"/>
      </w:pPr>
      <w:r>
        <w:rPr>
          <w:b w:val="false"/>
          <w:bCs w:val="false"/>
          <w:i w:val="false"/>
          <w:iCs w:val="false"/>
          <w:sz w:val="20"/>
          <w:szCs w:val="20"/>
        </w:rPr>
        <w:t xml:space="preserve">8. სამართლიანი კულტურა — რეაგირების განსაზღვრა · 9. გამოძიება და მაკორექტირებელი ქმედება</w:t>
      </w:r>
    </w:p>
    <w:p>
      <w:pPr>
        <w:spacing w:after="110" w:line="260"/>
      </w:pPr>
      <w:r>
        <w:rPr>
          <w:b w:val="false"/>
          <w:bCs w:val="false"/>
          <w:i w:val="false"/>
          <w:iCs w:val="false"/>
          <w:sz w:val="20"/>
          <w:szCs w:val="20"/>
        </w:rPr>
        <w:t xml:space="preserve">10. განსაკუთრებული პირობები · 11. პროცესის ეფექტურობის მაჩვენებლები (KPI)</w:t>
      </w:r>
    </w:p>
    <w:p>
      <w:pPr>
        <w:spacing w:after="110" w:line="260"/>
      </w:pPr>
      <w:r>
        <w:rPr>
          <w:b w:val="false"/>
          <w:bCs w:val="false"/>
          <w:i w:val="false"/>
          <w:iCs w:val="false"/>
          <w:sz w:val="20"/>
          <w:szCs w:val="20"/>
        </w:rPr>
        <w:t xml:space="preserve">12. თანმხლები დოკუმენტაცია · 13.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b w:val="false"/>
          <w:bCs w:val="false"/>
          <w:i w:val="false"/>
          <w:iCs w:val="false"/>
          <w:sz w:val="20"/>
          <w:szCs w:val="20"/>
        </w:rPr>
        <w:t xml:space="preserve">[ORGANIZATION NAME]-ში ყოველი კლინიკური ინციდენტის, არასასურველი მოვლენისა და თითქმის-შეცდომის შეტყობინების, კლასიფიცირების, გამოძიებისა და უსაფრთხოების რეალურად გაუმჯობესებისთვის გამოყენების უზრუნველყოფა, WHO-ს პაციენტის უსაფრთხოების ინციდენტების შეტყობინების ჩარჩოსა და სამართლიანი კულტურის რეალური, დოკუმენტირებული პრინციპების შესაბამისად [1–3].</w:t>
      </w:r>
    </w:p>
    <w:p>
      <w:pPr>
        <w:pStyle w:val="Heading1"/>
        <w:spacing w:after="120" w:before="240"/>
      </w:pPr>
      <w:r>
        <w:rPr>
          <w:b/>
          <w:bCs/>
          <w:color w:val="0E2647"/>
          <w:sz w:val="24"/>
          <w:szCs w:val="24"/>
        </w:rPr>
        <w:t xml:space="preserve">2. მოქმედების სფერო</w:t>
      </w:r>
    </w:p>
    <w:p>
      <w:pPr>
        <w:spacing w:after="110" w:line="260"/>
      </w:pPr>
      <w:r>
        <w:rPr>
          <w:b w:val="false"/>
          <w:bCs w:val="false"/>
          <w:i w:val="false"/>
          <w:iCs w:val="false"/>
          <w:sz w:val="20"/>
          <w:szCs w:val="20"/>
        </w:rPr>
        <w:t xml:space="preserve">წინამდებარე პროცედურა ვრცელდება [ORGANIZATION NAME]-ში ყოველ მოვლენაზე, რომელმაც იმოქმედა ან შეეძლო ემოქმედა პაციენტის უსაფრთხოებაზე — ზოგადი კონსულტაცია, ლაბორატორია, ონკოლოგია და პედიატრია — ზიანის რეალურად მოხდენის მიუხედავად.</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თითქმის-შეცდომა — შეცდომა, რომელსაც ჰქონდა არასასურველი მოვლენის გამოწვევის პოტენციალი, მაგრამ არ გამოიწვია, შემთხვევითობის გამო ან იმის გამო, რომ შეჩერდა პაციენტამდე მისვლამდე [1]</w:t>
      </w:r>
    </w:p>
    <w:p>
      <w:pPr>
        <w:spacing w:after="70" w:line="245"/>
        <w:ind w:left="260" w:hanging="180"/>
      </w:pPr>
      <w:r>
        <w:rPr>
          <w:sz w:val="19"/>
          <w:szCs w:val="19"/>
        </w:rPr>
        <w:t xml:space="preserve">•  ზიანის გარეშე მოვლენა — მოვლენა, რომელიც პაციენტამდე მივიდა, მაგრამ ზიანი არ გამოუწვევია</w:t>
      </w:r>
    </w:p>
    <w:p>
      <w:pPr>
        <w:spacing w:after="70" w:line="245"/>
        <w:ind w:left="260" w:hanging="180"/>
      </w:pPr>
      <w:r>
        <w:rPr>
          <w:sz w:val="19"/>
          <w:szCs w:val="19"/>
        </w:rPr>
        <w:t xml:space="preserve">•  არასასურველი მოვლენა — პაციენტის უსაფრთხოების მოვლენა, რომელმაც გამოიწვია რეალური ზიანი</w:t>
      </w:r>
    </w:p>
    <w:p>
      <w:pPr>
        <w:spacing w:after="70" w:line="245"/>
        <w:ind w:left="260" w:hanging="180"/>
      </w:pPr>
      <w:r>
        <w:rPr>
          <w:sz w:val="19"/>
          <w:szCs w:val="19"/>
        </w:rPr>
        <w:t xml:space="preserve">•  სენტინელური მოვლენა — ყველაზე მძიმე კლასიფიკაცია: სიკვდილით, მუდმივი ზიანით ან სიცოცხლის შენარჩუნებისთვის ჩარევის საჭიროებით დამთავრებული მოვლენა</w:t>
      </w:r>
    </w:p>
    <w:p>
      <w:pPr>
        <w:pStyle w:val="Heading1"/>
        <w:spacing w:after="120" w:before="240"/>
      </w:pPr>
      <w:r>
        <w:rPr>
          <w:b/>
          <w:bCs/>
          <w:color w:val="0E2647"/>
          <w:sz w:val="24"/>
          <w:szCs w:val="24"/>
        </w:rPr>
        <w:t xml:space="preserve">4. ზოგადი დებულებები</w:t>
      </w:r>
    </w:p>
    <w:p>
      <w:pPr>
        <w:spacing w:after="110" w:line="260"/>
      </w:pPr>
      <w:r>
        <w:rPr>
          <w:b w:val="false"/>
          <w:bCs w:val="false"/>
          <w:i w:val="false"/>
          <w:iCs w:val="false"/>
          <w:sz w:val="20"/>
          <w:szCs w:val="20"/>
        </w:rPr>
        <w:t xml:space="preserve">თითქმის-შეცდომები რეალურად მნიშვნელოვნად აღემატება არასასურველ მოვლენებს რაოდენობით — რეალური უსაფრთხოების ლიტერატურა აფასებს, რომ ყოველ რეალურ არასასურველ მოვლენაზე მოდის 3-დან 300-მდე თითქმის-შეცდომა — რაც თითქმის-შეცდომის შეტყობინებას ხდის ერთ-ერთ ყველაზე ღირებულ, და ყველაზე ხშირად არასათანადოდ შეტყობინებულ, უსაფრთხოების სწავლის წყაროდ [4–5]. [ORGANIZATION NAME] თითქმის-შეცდომას განიხილავს იმავე სერიოზულობით, რაც პაციენტამდე მისულ მოვლენას, ვინაიდან ორივე ავლენს იმავე ძირეულ სისტემურ სისუსტეს.</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ხარისხის მენეჯერი</w:t>
            </w:r>
          </w:p>
        </w:tc>
        <w:tc>
          <w:tcPr>
            <w:shd w:fill="0E2647" w:val="clear"/>
            <w:tcMar>
              <w:top w:type="dxa" w:w="70"/>
              <w:left w:type="dxa" w:w="80"/>
              <w:bottom w:type="dxa" w:w="70"/>
              <w:right w:type="dxa" w:w="70"/>
            </w:tcMar>
          </w:tcPr>
          <w:p>
            <w:pPr>
              <w:jc w:val="center"/>
            </w:pPr>
            <w:r>
              <w:rPr>
                <w:b/>
                <w:bCs/>
                <w:color w:val="FFFFFF"/>
                <w:sz w:val="13"/>
                <w:szCs w:val="13"/>
              </w:rPr>
              <w:t xml:space="preserve">კლინიკური პერსონალი</w:t>
            </w:r>
          </w:p>
        </w:tc>
        <w:tc>
          <w:tcPr>
            <w:shd w:fill="0E2647" w:val="clear"/>
            <w:tcMar>
              <w:top w:type="dxa" w:w="70"/>
              <w:left w:type="dxa" w:w="80"/>
              <w:bottom w:type="dxa" w:w="70"/>
              <w:right w:type="dxa" w:w="70"/>
            </w:tcMar>
          </w:tcPr>
          <w:p>
            <w:pPr>
              <w:jc w:val="center"/>
            </w:pPr>
            <w:r>
              <w:rPr>
                <w:b/>
                <w:bCs/>
                <w:color w:val="FFFFFF"/>
                <w:sz w:val="13"/>
                <w:szCs w:val="13"/>
              </w:rPr>
              <w:t xml:space="preserve">მომხსენებელი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მოვლენის კლასიფიცირება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შეთანხმებული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ნებისმიერი მოვლენის შეტყობინება, თითქმის-შეცდომის ჩათვლით</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r>
      <w:tr>
        <w:tc>
          <w:tcPr>
            <w:tcMar>
              <w:top w:type="dxa" w:w="70"/>
              <w:left w:type="dxa" w:w="80"/>
              <w:bottom w:type="dxa" w:w="70"/>
              <w:right w:type="dxa" w:w="70"/>
            </w:tcMar>
            <w:vAlign w:val="center"/>
          </w:tcPr>
          <w:p>
            <w:pPr>
              <w:jc w:val="left"/>
            </w:pPr>
            <w:r>
              <w:rPr>
                <w:b/>
                <w:bCs/>
                <w:sz w:val="14"/>
                <w:szCs w:val="14"/>
              </w:rPr>
              <w:t xml:space="preserve">გამოძიება და ძირეული მიზეზის ანალიზი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სენტინელური მოვლენის ესკალაცია</w:t>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შეთანხმებული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მოვლენების კლასიფიკაცია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200"/>
        <w:gridCol w:w="3700"/>
        <w:gridCol w:w="2600"/>
        <w:gridCol w:w="2600"/>
      </w:tblGrid>
      <w:tr>
        <w:tc>
          <w:tcPr>
            <w:shd w:fill="0E2647" w:val="clear"/>
            <w:tcMar>
              <w:top w:type="dxa" w:w="80"/>
              <w:left w:type="dxa" w:w="100"/>
              <w:bottom w:type="dxa" w:w="80"/>
              <w:right w:type="dxa" w:w="80"/>
            </w:tcMar>
          </w:tcPr>
          <w:p>
            <w:r>
              <w:rPr>
                <w:b/>
                <w:bCs/>
                <w:color w:val="FFFFFF"/>
                <w:sz w:val="13"/>
                <w:szCs w:val="13"/>
              </w:rPr>
              <w:t xml:space="preserve">კლასიფიკაცია</w:t>
            </w:r>
          </w:p>
        </w:tc>
        <w:tc>
          <w:tcPr>
            <w:shd w:fill="0E2647" w:val="clear"/>
            <w:tcMar>
              <w:top w:type="dxa" w:w="80"/>
              <w:left w:type="dxa" w:w="100"/>
              <w:bottom w:type="dxa" w:w="80"/>
              <w:right w:type="dxa" w:w="80"/>
            </w:tcMar>
          </w:tcPr>
          <w:p>
            <w:r>
              <w:rPr>
                <w:b/>
                <w:bCs/>
                <w:color w:val="FFFFFF"/>
                <w:sz w:val="13"/>
                <w:szCs w:val="13"/>
              </w:rPr>
              <w:t xml:space="preserve">განმარტება</w:t>
            </w:r>
          </w:p>
        </w:tc>
        <w:tc>
          <w:tcPr>
            <w:shd w:fill="0E2647" w:val="clear"/>
            <w:tcMar>
              <w:top w:type="dxa" w:w="80"/>
              <w:left w:type="dxa" w:w="100"/>
              <w:bottom w:type="dxa" w:w="80"/>
              <w:right w:type="dxa" w:w="80"/>
            </w:tcMar>
          </w:tcPr>
          <w:p>
            <w:r>
              <w:rPr>
                <w:b/>
                <w:bCs/>
                <w:color w:val="FFFFFF"/>
                <w:sz w:val="13"/>
                <w:szCs w:val="13"/>
              </w:rPr>
              <w:t xml:space="preserve">რეაგირება</w:t>
            </w:r>
          </w:p>
        </w:tc>
      </w:tr>
      <w:tr>
        <w:tc>
          <w:tcPr>
            <w:tcW w:type="dxa" w:w="2200"/>
            <w:tcMar>
              <w:top w:type="dxa" w:w="80"/>
              <w:left w:type="dxa" w:w="100"/>
              <w:bottom w:type="dxa" w:w="80"/>
              <w:right w:type="dxa" w:w="80"/>
            </w:tcMar>
            <w:vAlign w:val="center"/>
          </w:tcPr>
          <w:p>
            <w:r>
              <w:rPr>
                <w:b/>
                <w:bCs/>
                <w:sz w:val="14"/>
                <w:szCs w:val="14"/>
              </w:rPr>
              <w:t xml:space="preserve">თითქმის-შეცდომა</w:t>
            </w:r>
          </w:p>
        </w:tc>
        <w:tc>
          <w:tcPr>
            <w:tcW w:type="dxa" w:w="3700"/>
            <w:tcMar>
              <w:top w:type="dxa" w:w="80"/>
              <w:left w:type="dxa" w:w="100"/>
              <w:bottom w:type="dxa" w:w="80"/>
              <w:right w:type="dxa" w:w="80"/>
            </w:tcMar>
            <w:vAlign w:val="center"/>
          </w:tcPr>
          <w:p>
            <w:r>
              <w:rPr>
                <w:sz w:val="13"/>
                <w:szCs w:val="13"/>
              </w:rPr>
              <w:t xml:space="preserve">შეჩერდა პაციენტამდე მისვლამდე [1]</w:t>
            </w:r>
          </w:p>
        </w:tc>
        <w:tc>
          <w:tcPr>
            <w:tcW w:type="dxa" w:w="2600"/>
            <w:tcMar>
              <w:top w:type="dxa" w:w="80"/>
              <w:left w:type="dxa" w:w="100"/>
              <w:bottom w:type="dxa" w:w="80"/>
              <w:right w:type="dxa" w:w="80"/>
            </w:tcMar>
            <w:vAlign w:val="center"/>
          </w:tcPr>
          <w:p>
            <w:r>
              <w:rPr>
                <w:sz w:val="12"/>
                <w:szCs w:val="12"/>
              </w:rPr>
              <w:t xml:space="preserve">ინახება და გამოიძიება, როგორც პაციენტამდე მისული მოვლენა</w:t>
            </w:r>
          </w:p>
        </w:tc>
      </w:tr>
      <w:tr>
        <w:tc>
          <w:tcPr>
            <w:tcW w:type="dxa" w:w="2200"/>
            <w:tcMar>
              <w:top w:type="dxa" w:w="80"/>
              <w:left w:type="dxa" w:w="100"/>
              <w:bottom w:type="dxa" w:w="80"/>
              <w:right w:type="dxa" w:w="80"/>
            </w:tcMar>
            <w:vAlign w:val="center"/>
          </w:tcPr>
          <w:p>
            <w:r>
              <w:rPr>
                <w:b/>
                <w:bCs/>
                <w:sz w:val="14"/>
                <w:szCs w:val="14"/>
              </w:rPr>
              <w:t xml:space="preserve">ზიანის გარეშე მოვლენა</w:t>
            </w:r>
          </w:p>
        </w:tc>
        <w:tc>
          <w:tcPr>
            <w:tcW w:type="dxa" w:w="3700"/>
            <w:tcMar>
              <w:top w:type="dxa" w:w="80"/>
              <w:left w:type="dxa" w:w="100"/>
              <w:bottom w:type="dxa" w:w="80"/>
              <w:right w:type="dxa" w:w="80"/>
            </w:tcMar>
            <w:vAlign w:val="center"/>
          </w:tcPr>
          <w:p>
            <w:r>
              <w:rPr>
                <w:sz w:val="13"/>
                <w:szCs w:val="13"/>
              </w:rPr>
              <w:t xml:space="preserve">პაციენტამდე მივიდა, ზიანი არ გამოწვეულა</w:t>
            </w:r>
          </w:p>
        </w:tc>
        <w:tc>
          <w:tcPr>
            <w:tcW w:type="dxa" w:w="2600"/>
            <w:tcMar>
              <w:top w:type="dxa" w:w="80"/>
              <w:left w:type="dxa" w:w="100"/>
              <w:bottom w:type="dxa" w:w="80"/>
              <w:right w:type="dxa" w:w="80"/>
            </w:tcMar>
            <w:vAlign w:val="center"/>
          </w:tcPr>
          <w:p>
            <w:r>
              <w:rPr>
                <w:sz w:val="12"/>
                <w:szCs w:val="12"/>
              </w:rPr>
              <w:t xml:space="preserve">ინახება და გამოიძიება</w:t>
            </w:r>
          </w:p>
        </w:tc>
      </w:tr>
      <w:tr>
        <w:tc>
          <w:tcPr>
            <w:tcW w:type="dxa" w:w="2200"/>
            <w:tcMar>
              <w:top w:type="dxa" w:w="80"/>
              <w:left w:type="dxa" w:w="100"/>
              <w:bottom w:type="dxa" w:w="80"/>
              <w:right w:type="dxa" w:w="80"/>
            </w:tcMar>
            <w:vAlign w:val="center"/>
          </w:tcPr>
          <w:p>
            <w:r>
              <w:rPr>
                <w:b/>
                <w:bCs/>
                <w:sz w:val="14"/>
                <w:szCs w:val="14"/>
              </w:rPr>
              <w:t xml:space="preserve">არასასურველი მოვლენა</w:t>
            </w:r>
          </w:p>
        </w:tc>
        <w:tc>
          <w:tcPr>
            <w:tcW w:type="dxa" w:w="3700"/>
            <w:tcMar>
              <w:top w:type="dxa" w:w="80"/>
              <w:left w:type="dxa" w:w="100"/>
              <w:bottom w:type="dxa" w:w="80"/>
              <w:right w:type="dxa" w:w="80"/>
            </w:tcMar>
            <w:vAlign w:val="center"/>
          </w:tcPr>
          <w:p>
            <w:r>
              <w:rPr>
                <w:sz w:val="13"/>
                <w:szCs w:val="13"/>
              </w:rPr>
              <w:t xml:space="preserve">პაციენტამდე მივიდა, გამოიწვია რეალური ზიანი</w:t>
            </w:r>
          </w:p>
        </w:tc>
        <w:tc>
          <w:tcPr>
            <w:tcW w:type="dxa" w:w="2600"/>
            <w:tcMar>
              <w:top w:type="dxa" w:w="80"/>
              <w:left w:type="dxa" w:w="100"/>
              <w:bottom w:type="dxa" w:w="80"/>
              <w:right w:type="dxa" w:w="80"/>
            </w:tcMar>
            <w:vAlign w:val="center"/>
          </w:tcPr>
          <w:p>
            <w:r>
              <w:rPr>
                <w:sz w:val="12"/>
                <w:szCs w:val="12"/>
              </w:rPr>
              <w:t xml:space="preserve">ინახება, გამოიძიება, ეცნობება მენეჯმენტის მიმოხილვას</w:t>
            </w:r>
          </w:p>
        </w:tc>
      </w:tr>
      <w:tr>
        <w:tc>
          <w:tcPr>
            <w:tcW w:type="dxa" w:w="2200"/>
            <w:tcMar>
              <w:top w:type="dxa" w:w="80"/>
              <w:left w:type="dxa" w:w="100"/>
              <w:bottom w:type="dxa" w:w="80"/>
              <w:right w:type="dxa" w:w="80"/>
            </w:tcMar>
            <w:vAlign w:val="center"/>
          </w:tcPr>
          <w:p>
            <w:r>
              <w:rPr>
                <w:b/>
                <w:bCs/>
                <w:sz w:val="14"/>
                <w:szCs w:val="14"/>
              </w:rPr>
              <w:t xml:space="preserve">სენტინელური მოვლენა</w:t>
            </w:r>
          </w:p>
        </w:tc>
        <w:tc>
          <w:tcPr>
            <w:tcW w:type="dxa" w:w="3700"/>
            <w:tcMar>
              <w:top w:type="dxa" w:w="80"/>
              <w:left w:type="dxa" w:w="100"/>
              <w:bottom w:type="dxa" w:w="80"/>
              <w:right w:type="dxa" w:w="80"/>
            </w:tcMar>
            <w:vAlign w:val="center"/>
          </w:tcPr>
          <w:p>
            <w:r>
              <w:rPr>
                <w:sz w:val="13"/>
                <w:szCs w:val="13"/>
              </w:rPr>
              <w:t xml:space="preserve">სიკვდილი, მუდმივი ზიანი, ან სიცოცხლის შენარჩუნების ჩარევის საჭიროება</w:t>
            </w:r>
          </w:p>
        </w:tc>
        <w:tc>
          <w:tcPr>
            <w:tcW w:type="dxa" w:w="2600"/>
            <w:tcMar>
              <w:top w:type="dxa" w:w="80"/>
              <w:left w:type="dxa" w:w="100"/>
              <w:bottom w:type="dxa" w:w="80"/>
              <w:right w:type="dxa" w:w="80"/>
            </w:tcMar>
            <w:vAlign w:val="center"/>
          </w:tcPr>
          <w:p>
            <w:r>
              <w:rPr>
                <w:sz w:val="12"/>
                <w:szCs w:val="12"/>
              </w:rPr>
              <w:t xml:space="preserve">დაუყოვნებელი ესკალაცია დირექტორთან; სავალდებულო სრული ძირეული მიზეზის ანალიზი</w:t>
            </w:r>
          </w:p>
        </w:tc>
      </w:tr>
    </w:tbl>
    <w:p>
      <w:pPr>
        <w:pStyle w:val="Heading1"/>
        <w:spacing w:after="120" w:before="240"/>
      </w:pPr>
      <w:r>
        <w:rPr>
          <w:b/>
          <w:bCs/>
          <w:color w:val="0E2647"/>
          <w:sz w:val="24"/>
          <w:szCs w:val="24"/>
        </w:rPr>
        <w:t xml:space="preserve">7. შეტყობინების ეტაპები</w:t>
      </w:r>
    </w:p>
    <w:p>
      <w:pPr>
        <w:spacing w:after="90" w:line="255"/>
        <w:ind w:left="340" w:hanging="340"/>
      </w:pPr>
      <w:r>
        <w:rPr>
          <w:b/>
          <w:bCs/>
          <w:color w:val="0E2647"/>
          <w:sz w:val="19"/>
          <w:szCs w:val="19"/>
        </w:rPr>
        <w:t xml:space="preserve">ნაბიჯი 1.  </w:t>
      </w:r>
      <w:r>
        <w:rPr>
          <w:sz w:val="19"/>
          <w:szCs w:val="19"/>
        </w:rPr>
        <w:t xml:space="preserve">შეატყობინეთ მოვლენა მისი გამოვლენისთანავე, სიმძიმის ან პაციენტამდე მისვლის მიუხედავად</w:t>
      </w:r>
    </w:p>
    <w:p>
      <w:pPr>
        <w:spacing w:after="90" w:line="255"/>
        <w:ind w:left="340" w:hanging="340"/>
      </w:pPr>
      <w:r>
        <w:rPr>
          <w:b/>
          <w:bCs/>
          <w:color w:val="0E2647"/>
          <w:sz w:val="19"/>
          <w:szCs w:val="19"/>
        </w:rPr>
        <w:t xml:space="preserve">ნაბიჯი 2.  </w:t>
      </w:r>
      <w:r>
        <w:rPr>
          <w:sz w:val="19"/>
          <w:szCs w:val="19"/>
        </w:rPr>
        <w:t xml:space="preserve">დააფიქსირეთ მოვლენა ინციდენტების ჟურნალში ფაქტობრივი, ობიექტური აღწერით — რა მოხდა, არა ვინ არის დამნაშავე</w:t>
      </w:r>
    </w:p>
    <w:p>
      <w:pPr>
        <w:spacing w:after="90" w:line="255"/>
        <w:ind w:left="340" w:hanging="340"/>
      </w:pPr>
      <w:r>
        <w:rPr>
          <w:b/>
          <w:bCs/>
          <w:color w:val="0E2647"/>
          <w:sz w:val="19"/>
          <w:szCs w:val="19"/>
        </w:rPr>
        <w:t xml:space="preserve">ნაბიჯი 3.  </w:t>
      </w:r>
      <w:r>
        <w:rPr>
          <w:sz w:val="19"/>
          <w:szCs w:val="19"/>
        </w:rPr>
        <w:t xml:space="preserve">ხარისხის მენეჯერი კლასიფიცირებს მოვლენას მე-6 ნაწილის მიხედვით, განსაზღვრულ ვადაში</w:t>
      </w:r>
    </w:p>
    <w:p>
      <w:pPr>
        <w:spacing w:after="90" w:line="255"/>
        <w:ind w:left="340" w:hanging="340"/>
      </w:pPr>
      <w:r>
        <w:rPr>
          <w:b/>
          <w:bCs/>
          <w:color w:val="0E2647"/>
          <w:sz w:val="19"/>
          <w:szCs w:val="19"/>
        </w:rPr>
        <w:t xml:space="preserve">ნაბიჯი 4.  </w:t>
      </w:r>
      <w:r>
        <w:rPr>
          <w:sz w:val="19"/>
          <w:szCs w:val="19"/>
        </w:rPr>
        <w:t xml:space="preserve">სენტინელური მოვლენა დაუყოვნებლივ გადაეცემა დირექტორს, არ ეყოვნება რუტინულ მიმოხილვამდე</w:t>
      </w:r>
    </w:p>
    <w:p>
      <w:pPr>
        <w:pStyle w:val="Heading1"/>
        <w:spacing w:after="120" w:before="240"/>
      </w:pPr>
      <w:r>
        <w:rPr>
          <w:b/>
          <w:bCs/>
          <w:color w:val="0E2647"/>
          <w:sz w:val="24"/>
          <w:szCs w:val="24"/>
        </w:rPr>
        <w:t xml:space="preserve">8. სამართლიანი კულტურა — რეაგირების განსაზღვრა</w:t>
      </w:r>
    </w:p>
    <w:p>
      <w:pPr>
        <w:spacing w:after="110" w:line="260"/>
      </w:pPr>
      <w:r>
        <w:rPr>
          <w:b w:val="false"/>
          <w:bCs w:val="false"/>
          <w:i w:val="false"/>
          <w:iCs w:val="false"/>
          <w:sz w:val="20"/>
          <w:szCs w:val="20"/>
        </w:rPr>
        <w:t xml:space="preserve">პუნიტიური ქმედების შიში არის ერთადერთი ყველაზე თანმიმდევრულად დოკუმენტირებული მიზეზი, რის გამოც პერსონალი არასათანადოდ ატყობინებს რეალურ უსაფრთხოების მოვლენებს [2–3]. [ORGANIZATION NAME] იყენებს რეალურ სამართლიანი კულტურის მიდგომას — არა ბლანკეტურ დაპირებას, რომ არავინ არასდროს არის ანგარიშვალდებული, არამედ სამართლიან, თანმიმდევრულ განსხვავებას სამ რეალურად განსხვავებულ სიტუაციას შორის [2–3]:</w:t>
      </w:r>
    </w:p>
    <w:p>
      <w:pPr>
        <w:spacing w:after="70" w:line="245"/>
        <w:ind w:left="260" w:hanging="180"/>
      </w:pPr>
      <w:r>
        <w:rPr>
          <w:sz w:val="19"/>
          <w:szCs w:val="19"/>
        </w:rPr>
        <w:t xml:space="preserve">•  ადამიანური შეცდომა — უნებლიე ცდომილება კეთილსინდისიერად მოქმედი პირის მხრიდან — განიხილება სისტემის გაუმჯობესებით, არა დისციპლინით</w:t>
      </w:r>
    </w:p>
    <w:p>
      <w:pPr>
        <w:spacing w:after="70" w:line="245"/>
        <w:ind w:left="260" w:hanging="180"/>
      </w:pPr>
      <w:r>
        <w:rPr>
          <w:sz w:val="19"/>
          <w:szCs w:val="19"/>
        </w:rPr>
        <w:t xml:space="preserve">•  რისკის შემცველი ქცევა — არჩევანი, რომელიც უნებლიედ ზრდის რისკს, ხშირად იმის გამო, რომ მალსახმობი გახდა ნორმალიზებული — განიხილება მწვრთნელობითა და მალსახმობის სტიმულის მოხსნით</w:t>
      </w:r>
    </w:p>
    <w:p>
      <w:pPr>
        <w:spacing w:after="70" w:line="245"/>
        <w:ind w:left="260" w:hanging="180"/>
      </w:pPr>
      <w:r>
        <w:rPr>
          <w:sz w:val="19"/>
          <w:szCs w:val="19"/>
        </w:rPr>
        <w:t xml:space="preserve">•  დაუდევარი ქცევა — ცნობილი, არსებითი რისკის შეგნებული უგულებელყოფა — განიხილება დისციპლინური ღონისძიებით, ვინაიდან ეს არ არის ის, რასთვისაც არსებობს კეთილსინდისიერი შეტყობინების დაცვა</w:t>
      </w:r>
    </w:p>
    <w:p>
      <w:pPr>
        <w:pBdr>
          <w:left w:val="single" w:color="C9A227" w:sz="16" w:space="10"/>
        </w:pBdr>
        <w:shd w:fill="FFF8E7" w:val="clear"/>
        <w:spacing w:after="160" w:before="110"/>
      </w:pPr>
      <w:r>
        <w:rPr>
          <w:i/>
          <w:iCs/>
          <w:color w:val="5C4A0A"/>
          <w:sz w:val="18"/>
          <w:szCs w:val="18"/>
        </w:rPr>
        <w:t xml:space="preserve">ეს განსხვავება ხდის არაპუნიტიურ შეტყობინებას რეალურად სანდოს, არა მხოლოდ ლოზუნგს: პერსონალს შეუძლია ენდოს, რომ ადამიანური შეცდომის პატიოსანი შეტყობინება არ მოეპყრობა იმავენაირად, როგორც უსაფრთხოების დაუდევარ უგულებელყოფას.</w:t>
      </w:r>
    </w:p>
    <w:p>
      <w:pPr>
        <w:pStyle w:val="Heading1"/>
        <w:spacing w:after="120" w:before="240"/>
      </w:pPr>
      <w:r>
        <w:rPr>
          <w:b/>
          <w:bCs/>
          <w:color w:val="0E2647"/>
          <w:sz w:val="24"/>
          <w:szCs w:val="24"/>
        </w:rPr>
        <w:t xml:space="preserve">9. გამოძიება და მაკორექტირებელი ქმედება</w:t>
      </w:r>
    </w:p>
    <w:p>
      <w:pPr>
        <w:spacing w:after="110" w:line="260"/>
      </w:pPr>
      <w:r>
        <w:rPr>
          <w:b w:val="false"/>
          <w:bCs w:val="false"/>
          <w:i w:val="false"/>
          <w:iCs w:val="false"/>
          <w:sz w:val="20"/>
          <w:szCs w:val="20"/>
        </w:rPr>
        <w:t xml:space="preserve">ყოველი არასასურველი და სენტინელური მოვლენა გადის ძირეული მიზეზის ანალიზს შეუსაბამობის მართვის პროცედურის ფარგლებში, ფოკუსირებული სისტემებსა და პირობებზე, რომლებმაც მოვლენას საშუალება მისცეს, არა მხოლოდ ჩართულ ინდივიდზე. მაკორექტირებელი ქმედებები მოწმდება ეფექტურობაზე დანერგვის შემდეგ, არა უბრალოდ ფიქსირდება და იხურება.</w:t>
      </w:r>
    </w:p>
    <w:p>
      <w:pPr>
        <w:pStyle w:val="Heading1"/>
        <w:spacing w:after="120" w:before="240"/>
      </w:pPr>
      <w:r>
        <w:rPr>
          <w:b/>
          <w:bCs/>
          <w:color w:val="0E2647"/>
          <w:sz w:val="24"/>
          <w:szCs w:val="24"/>
        </w:rPr>
        <w:t xml:space="preserve">10. განსაკუთრებული პირობები</w:t>
      </w:r>
    </w:p>
    <w:p>
      <w:pPr>
        <w:spacing w:after="70" w:line="245"/>
        <w:ind w:left="260" w:hanging="180"/>
      </w:pPr>
      <w:r>
        <w:rPr>
          <w:sz w:val="19"/>
          <w:szCs w:val="19"/>
        </w:rPr>
        <w:t xml:space="preserve">•  ონკოლოგიური მოვლენა ეცნობება აქ, მე-5 დონის ექსტრავაზაციის სპეციფიკურ დოკუმენტაციასთან ერთად</w:t>
      </w:r>
    </w:p>
    <w:p>
      <w:pPr>
        <w:spacing w:after="70" w:line="245"/>
        <w:ind w:left="260" w:hanging="180"/>
      </w:pPr>
      <w:r>
        <w:rPr>
          <w:sz w:val="19"/>
          <w:szCs w:val="19"/>
        </w:rPr>
        <w:t xml:space="preserve">•  პედიატრიული მოვლენა ეცნობება აქ, ნებისმიერ მე-6 დონის პედიატრიულ შეტყობინების მოთხოვნასთან ერთად</w:t>
      </w:r>
    </w:p>
    <w:p>
      <w:pPr>
        <w:spacing w:after="70" w:line="245"/>
        <w:ind w:left="260" w:hanging="180"/>
      </w:pPr>
      <w:r>
        <w:rPr>
          <w:sz w:val="19"/>
          <w:szCs w:val="19"/>
        </w:rPr>
        <w:t xml:space="preserve">•  პერსონალი, რომელიც კეთილსინდისიერად ატყობინებს მოვლენას, საკუთარი შეცდომის ჩათვლით, არასდროს ისჯება თავად შეტყობინების აქტისთვის</w:t>
      </w:r>
    </w:p>
    <w:p>
      <w:pPr>
        <w:pStyle w:val="Heading1"/>
        <w:spacing w:after="120" w:before="240"/>
      </w:pPr>
      <w:r>
        <w:rPr>
          <w:b/>
          <w:bCs/>
          <w:color w:val="0E2647"/>
          <w:sz w:val="24"/>
          <w:szCs w:val="24"/>
        </w:rPr>
        <w:t xml:space="preserve">11. პროცესის ეფექტურობის მაჩვენებლები (KPI)</w:t>
      </w:r>
    </w:p>
    <w:p>
      <w:pPr>
        <w:spacing w:after="70" w:line="245"/>
        <w:ind w:left="260" w:hanging="180"/>
      </w:pPr>
      <w:r>
        <w:rPr>
          <w:sz w:val="19"/>
          <w:szCs w:val="19"/>
        </w:rPr>
        <w:t xml:space="preserve">•  თითქმის-შეცდომისა და არასასურველი მოვლენის შეტყობინების თანაფარდობა (ჯანსაღი თანაფარდობა ასახავს ძლიერ შეტყობინების კულტურას, არა ნაკლებ რეალურ პრობლემას)</w:t>
      </w:r>
    </w:p>
    <w:p>
      <w:pPr>
        <w:spacing w:after="70" w:line="245"/>
        <w:ind w:left="260" w:hanging="180"/>
      </w:pPr>
      <w:r>
        <w:rPr>
          <w:sz w:val="19"/>
          <w:szCs w:val="19"/>
        </w:rPr>
        <w:t xml:space="preserve">•  დრო მოვლენის გამოვლენიდან კლასიფიცირებამდე</w:t>
      </w:r>
    </w:p>
    <w:p>
      <w:pPr>
        <w:spacing w:after="70" w:line="245"/>
        <w:ind w:left="260" w:hanging="180"/>
      </w:pPr>
      <w:r>
        <w:rPr>
          <w:sz w:val="19"/>
          <w:szCs w:val="19"/>
        </w:rPr>
        <w:t xml:space="preserve">•  მაკორექტირებელი ქმედების ეფექტურობის დადასტურების მაჩვენებელი</w:t>
      </w:r>
    </w:p>
    <w:p>
      <w:pPr>
        <w:pStyle w:val="Heading1"/>
        <w:spacing w:after="120" w:before="240"/>
      </w:pPr>
      <w:r>
        <w:rPr>
          <w:b/>
          <w:bCs/>
          <w:color w:val="0E2647"/>
          <w:sz w:val="24"/>
          <w:szCs w:val="24"/>
        </w:rPr>
        <w:t xml:space="preserve">12.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FW-GOV-01</w:t>
            </w:r>
          </w:p>
        </w:tc>
        <w:tc>
          <w:tcPr>
            <w:tcMar>
              <w:top w:type="dxa" w:w="70"/>
              <w:left w:type="dxa" w:w="100"/>
              <w:bottom w:type="dxa" w:w="70"/>
              <w:right w:type="dxa" w:w="90"/>
            </w:tcMar>
            <w:vAlign w:val="center"/>
          </w:tcPr>
          <w:p>
            <w:r>
              <w:rPr>
                <w:b w:val="false"/>
                <w:bCs w:val="false"/>
                <w:sz w:val="15"/>
                <w:szCs w:val="15"/>
              </w:rPr>
              <w:t xml:space="preserve">შეუსაბამობის მართვა (მე-2 დონე)</w:t>
            </w:r>
          </w:p>
        </w:tc>
      </w:tr>
    </w:tbl>
    <w:p>
      <w:pPr>
        <w:pStyle w:val="Heading1"/>
        <w:spacing w:after="120" w:before="240"/>
      </w:pPr>
      <w:r>
        <w:rPr>
          <w:b/>
          <w:bCs/>
          <w:color w:val="0E2647"/>
          <w:sz w:val="24"/>
          <w:szCs w:val="24"/>
        </w:rPr>
        <w:t xml:space="preserve">13.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[დირექტორის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MedTrainer. Understanding Near Miss Events in Healthcare (WHO-ს განმარტება). 2026.</w:t>
      </w:r>
    </w:p>
    <w:p>
      <w:pPr>
        <w:spacing w:after="90" w:line="230"/>
        <w:ind w:left="320" w:hanging="320"/>
      </w:pPr>
      <w:r>
        <w:rPr>
          <w:b/>
          <w:bCs/>
          <w:color w:val="0E2647"/>
          <w:sz w:val="15"/>
          <w:szCs w:val="15"/>
        </w:rPr>
        <w:t xml:space="preserve">[2] </w:t>
      </w:r>
      <w:r>
        <w:rPr>
          <w:sz w:val="15"/>
          <w:szCs w:val="15"/>
        </w:rPr>
        <w:t>Kumah, A. Adverse Event Reporting and Member Safety: The Role of a Just Culture. Frontiers in Health Services, 2025.</w:t>
      </w:r>
    </w:p>
    <w:p>
      <w:pPr>
        <w:spacing w:after="90" w:line="230"/>
        <w:ind w:left="320" w:hanging="320"/>
      </w:pPr>
      <w:r>
        <w:rPr>
          <w:b/>
          <w:bCs/>
          <w:color w:val="0E2647"/>
          <w:sz w:val="15"/>
          <w:szCs w:val="15"/>
        </w:rPr>
        <w:t xml:space="preserve">[3] </w:t>
      </w:r>
      <w:r>
        <w:rPr>
          <w:sz w:val="15"/>
          <w:szCs w:val="15"/>
        </w:rPr>
        <w:t>PSNet (AHRQ). Responding to Member Safety Events.</w:t>
      </w:r>
    </w:p>
    <w:p>
      <w:pPr>
        <w:spacing w:after="90" w:line="230"/>
        <w:ind w:left="320" w:hanging="320"/>
      </w:pPr>
      <w:r>
        <w:rPr>
          <w:b/>
          <w:bCs/>
          <w:color w:val="0E2647"/>
          <w:sz w:val="15"/>
          <w:szCs w:val="15"/>
        </w:rPr>
        <w:t xml:space="preserve">[4] </w:t>
      </w:r>
      <w:r>
        <w:rPr>
          <w:sz w:val="15"/>
          <w:szCs w:val="15"/>
        </w:rPr>
        <w:t>HQI. A Window into Member Safety: Underreporting of Near-Miss Events. 2024.</w:t>
      </w:r>
    </w:p>
    <w:p>
      <w:pPr>
        <w:spacing w:after="90" w:line="230"/>
        <w:ind w:left="320" w:hanging="320"/>
      </w:pPr>
      <w:r>
        <w:rPr>
          <w:b/>
          <w:bCs/>
          <w:color w:val="0E2647"/>
          <w:sz w:val="15"/>
          <w:szCs w:val="15"/>
        </w:rPr>
        <w:t xml:space="preserve">[5] </w:t>
      </w:r>
      <w:r>
        <w:rPr>
          <w:sz w:val="15"/>
          <w:szCs w:val="15"/>
        </w:rPr>
        <w:t>World Health Organization. Member Safety Incident Reporting and Learning Systems.</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[ხარისხის მენეჯერის სახელი] · დამტკიცებულია: [დირექტორის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FW-PS-02-KA · ინციდენტების შეტყობინება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2026-09-13T23:21:53.337Z</dcterms:created>
  <dcterms:modified xsi:type="dcterms:W3CDTF">2026-09-13T23:21:53.349Z</dcterms:modified>
</cp:coreProperties>
</file>

<file path=docProps/custom.xml><?xml version="1.0" encoding="utf-8"?>
<Properties xmlns="http://schemas.openxmlformats.org/officeDocument/2006/custom-properties" xmlns:vt="http://schemas.openxmlformats.org/officeDocument/2006/docPropsVTypes"/>
</file>