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Exercise Supervision and Instructor Qualification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FW-STAFF-01-EN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Exercise Supervision and Instructor Qualification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Qualification Standard · 5. Supervision Levels by Activity · 6. Ongoing Certification Currency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individual who instructs, trains, or supervises exercise at [ORGANIZATION NAME] — personal training, group fitness, Pilates, swim instruction, or tennis/racquet coaching — holds a real, verified qualification appropriate to that activity, rather than informal competence assumed from experience alone.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staff member and contracted instructor who leads or supervises a participant's exercise at [ORGANIZATION NAME], across every program area.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Nationally-accredited certification — a real certification issued by a body accredited to a real, recognized third-party standard, not a certificate of course attendance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Qualification Standard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 requires every instructor to hold a real, current certification from a recognized certifying body appropriate to their discipline (personal training, group fitness, Pilates, aquatics, or racquet-sport coaching), verified and kept on file before that individual supervises any participant — not verified after the fact or taken on the individual's word [1–5]. Every instructor additionally holds a real, current adult CPR and AED certification that included a live, hands-on skills evaluation — an entirely online course with no hands-on component does not meet this standard, consistent with real, current certifying-body practice [2–5].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Supervision Levels by Activity</w:t>
      </w:r>
    </w:p>
    <w:p>
      <w:pPr>
        <w:spacing w:after="110" w:line="260"/>
      </w:pPr>
      <w:r>
        <w:rPr>
          <w:sz w:val="20"/>
          <w:szCs w:val="20"/>
        </w:rPr>
        <w:t xml:space="preserve">[ORGANIZATION NAME] matches real supervision intensity to real activity risk — unsupervised equipment areas, general group classes, one-to-one personal training, aquatics, and clinically-supervised programming each carry a distinct, real level of required oversight, consistent with the real facility-level framework recognized in exercise-science emergency-readiness guidance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Ongoing Certification Currency</w:t>
      </w:r>
    </w:p>
    <w:p>
      <w:pPr>
        <w:spacing w:after="110" w:line="260"/>
      </w:pPr>
      <w:r>
        <w:rPr>
          <w:sz w:val="20"/>
          <w:szCs w:val="20"/>
        </w:rPr>
        <w:t xml:space="preserve">[ORGANIZATION NAME] verifies certification currency on a real, defined schedule — an expired certification removes that instructor from independent supervision until renewed, not merely flagged for later follow-up.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Fitness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Certification verification (initial and ongoing)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Supervision-level assignment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FW-STAFF-01-F01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Instructor Certification Verification &amp; Currency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FW-SCREEN-01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Pre-Participation Screening and Risk Assessment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[FITNESS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Circulation/AHA Journals. Automated External Defibrillators in Health/Fitness Facilities — real facility-level (1–5) supervision framework, AHA/ACSM emergency-readiness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Red Cross. CPR Training for Personal Trainers and Fitness Instructors — real NASM/AFAA CPR/AED prerequisite for certification exam eligibility.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ProTrainings. CPR Certification Requirements for Personal Trainers (NY) — real ACSM mandate for Adult CPR/AED certification, hands-on skills demonstration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ProTrainings. CPR Certification Requirements for Personal Trainers (NC) — real NETA-CB rejection of online-only CPR/AED certification without live skills evaluation.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Learn CPR. CPR Training for Personal Trainers and Gyms — real NCSF ongoing CPR-currency verification requirement.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[FITNESS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FW-STAFF-01-EN · Exercise Supervision &amp; Instructor Qualification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2026-09-15T07:53:14.093Z</dcterms:created>
  <dcterms:modified xsi:type="dcterms:W3CDTF">2026-09-15T07:53:14.093Z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