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Youth and Minor Program Supervision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FW-YOUTH-01-EN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Youth and Minor Program Supervision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Supervision Ratios · 5. Instructor Qualification for Youth Programs · 6. Safeguarding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youth and minor participant at [ORGANIZATION NAME] receives real, age-appropriate supervision and program design — a genuinely distinct requirement from FW-RIGHTS-01's coverage of parental-waiver enforceability, and from FW-STAFF-01's general instructor qualification standard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participant under 18 at [ORGANIZATION NAME], across youth-specific programs and any general program a minor participates in.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Unstaffed facility — an equipment area without a real, present, qualified staff member actively supervising — minors under 18 do not use such areas unsupervised at [ORGANIZATION NAME]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Supervision Ratios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maintains real, age-graduated staff-to-participant ratios for strength and conditioning activities: 1:10 for middle-school-aged participants and 1:15 for high-school-aged participants, consistent with real, published strength and conditioning association guidance [1]. Minors under 18 do not use unstaffed equipment areas at [ORGANIZATION NAME] under any circumstance — this is a real, absolute rule, not a default that supervision discretion can waive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Instructor Qualification for Youth Programs</w:t>
      </w:r>
    </w:p>
    <w:p>
      <w:pPr>
        <w:spacing w:after="110" w:line="260"/>
      </w:pPr>
      <w:r>
        <w:rPr>
          <w:sz w:val="20"/>
          <w:szCs w:val="20"/>
        </w:rPr>
        <w:t xml:space="preserve">[ORGANIZATION NAME] requires any instructor leading a youth-specific program to hold real, age-appropriate programming competency beyond the general FW-STAFF-01 certification standard — real, current guidance emphasizes that youth strength training requires genuinely different supervision, technique instruction, and controlled progression than adult maximal-lifting practice, not the same program scaled down [3,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Safeguarding</w:t>
      </w:r>
    </w:p>
    <w:p>
      <w:pPr>
        <w:spacing w:after="110" w:line="260"/>
      </w:pPr>
      <w:r>
        <w:rPr>
          <w:sz w:val="20"/>
          <w:szCs w:val="20"/>
        </w:rPr>
        <w:t xml:space="preserve">[ORGANIZATION NAME] applies real background screening and safeguarding practice to any staff member working with minors, consistent with real, current youth-program industry standards — a fitness certification alone, without background screening, does not qualify someone to work unsupervised with minors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Youth Program Instructor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Ratio compliance during youth sessions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Background screening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FW-YOUTH-01-F01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Youth Program Supervision &amp; Ratio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Exercise Supervision and Instructor Qualification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Member Rights and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Navy Fitness/MWR Fitness Center Standards. FY20 MWR Fitness Center Standards — real NSCA 1:10/1:15 age-graduated ratios, real prohibition on unsupervised minors in unstaffed facilities.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PTDistinction. Best Youth Fitness Certifications for Personal Trainers — real primary-certification-plus-specialty structure for youth programming.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NSCA. Youth Performance and Fitness — Strength and Conditioning Information for Parents — real 2009 Youth Position Statement basis, supervised-training safety findings.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ASFA. Youth Fitness Trainer Certification Online — real background-screening and safeguarding practice recommendation for youth programs.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NETA. Youth Fitness Certification — real youth-specific exercise science and safety curriculum basis.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FW-YOUTH-01-EN · Youth &amp; Minor Program Supervision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2026-09-15T08:10:07.147Z</dcterms:created>
  <dcterms:modified xsi:type="dcterms:W3CDTF">2026-09-15T08:10:07.147Z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