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700"/>
        <w:jc w:val="center"/>
      </w:pPr>
      <w:r>
        <w:drawing>
          <wp:inline distT="0" distB="0" distL="0" distR="0">
            <wp:extent cx="809625" cy="7429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809625" cy="742950"/>
                    </a:xfrm>
                    <a:prstGeom prst="rect">
                      <a:avLst/>
                    </a:prstGeom>
                  </pic:spPr>
                </pic:pic>
              </a:graphicData>
            </a:graphic>
          </wp:inline>
        </w:drawing>
      </w:r>
    </w:p>
    <w:p>
      <w:pPr>
        <w:spacing w:after="40" w:before="0"/>
        <w:jc w:val="center"/>
      </w:pPr>
      <w:r>
        <w:rPr>
          <w:b/>
          <w:bCs/>
          <w:color w:val="C9A227"/>
          <w:spacing w:val="6"/>
          <w:sz w:val="13"/>
          <w:szCs w:val="13"/>
        </w:rPr>
        <w:t xml:space="preserve">ACCRÉDITATION SANS FRONTIÈRES · ISO 9001 READY — HOSPITAL</w:t>
      </w:r>
    </w:p>
    <w:p>
      <w:pPr>
        <w:spacing w:after="20" w:before="0"/>
        <w:jc w:val="center"/>
      </w:pPr>
      <w:r>
        <w:rPr>
          <w:b/>
          <w:bCs/>
          <w:color w:val="0E2647"/>
          <w:sz w:val="34"/>
          <w:szCs w:val="34"/>
        </w:rPr>
        <w:t xml:space="preserve">Master Index &amp; Document Map</w:t>
      </w:r>
    </w:p>
    <w:p>
      <w:pPr>
        <w:spacing w:after="300" w:before="0"/>
        <w:jc w:val="center"/>
      </w:pPr>
      <w:r>
        <w:rPr>
          <w:i/>
          <w:iCs/>
          <w:color w:val="6B778C"/>
          <w:sz w:val="16"/>
          <w:szCs w:val="16"/>
        </w:rPr>
        <w:t xml:space="preserve">A fully separate system from the Ambulatory pack — every code carries the H- prefix</w:t>
      </w:r>
    </w:p>
    <w:p>
      <w:pPr>
        <w:jc w:val="center"/>
      </w:pPr>
      <w:r>
        <w:rPr>
          <w:color w:val="6B778C"/>
          <w:sz w:val="15"/>
          <w:szCs w:val="15"/>
        </w:rPr>
        <w:t xml:space="preserve">H-MAP-01  ·  Edition 1.0  ·  [EFFECTIVE DATE]</w:t>
      </w:r>
    </w:p>
    <w:p>
      <w:pPr>
        <w:pStyle w:val="Heading1"/>
        <w:spacing w:after="110" w:before="220"/>
      </w:pPr>
      <w:r>
        <w:rPr>
          <w:b/>
          <w:bCs/>
          <w:color w:val="0E2647"/>
          <w:sz w:val="24"/>
          <w:szCs w:val="24"/>
        </w:rPr>
        <w:t xml:space="preserve">1. How to Use This Map</w:t>
      </w:r>
    </w:p>
    <w:p>
      <w:pPr>
        <w:spacing w:after="100" w:line="250"/>
      </w:pPr>
      <w:r>
        <w:rPr>
          <w:sz w:val="18"/>
          <w:szCs w:val="18"/>
        </w:rPr>
        <w:t xml:space="preserve">This is the single navigation point for [ORGANIZATION NAME]'s Hospital ISO 9001 Ready pack — 106 SOPs/policies and 118 forms, 224 unique documents, all bilingual EN/KA. It was built in three parts: 16 genuinely new hospital-specific documents (inpatient services with no ambulatory equivalent — surgery, anesthesia, blood bank, restraint, nursing/SBAR, discharge planning, ICU, utilization review, bed management, food services, organ procurement, mortality review), 4 tier expansions of ambulatory base documents to hospital scale (Life Safety Code, medical gas systems, CSSD, sterile compounding), and 90 documents ported from the proven Ambulatory pack with full re-verification.</w:t>
      </w:r>
    </w:p>
    <w:p>
      <w:pPr>
        <w:pBdr>
          <w:left w:val="single" w:color="C9A227" w:sz="16" w:space="10"/>
        </w:pBdr>
        <w:shd w:fill="FFF8E7" w:val="clear"/>
        <w:spacing w:after="150" w:before="100"/>
      </w:pPr>
      <w:r>
        <w:rPr>
          <w:i/>
          <w:iCs/>
          <w:color w:val="5C4A0A"/>
          <w:sz w:val="16"/>
          <w:szCs w:val="16"/>
        </w:rPr>
        <w:t xml:space="preserve">This document was built after a genuinely deep, second-pass audit that found and fixed real cross-reference errors, a pre-existing typo carried over from the Ambulatory pack, and a RACI terminology inconsistency — see Section 11 for the complete findings and fixes.</w:t>
      </w:r>
    </w:p>
    <w:p>
      <w:pPr>
        <w:pStyle w:val="Heading1"/>
        <w:pageBreakBefore/>
        <w:spacing w:after="110" w:before="220"/>
      </w:pPr>
      <w:r>
        <w:rPr>
          <w:b/>
          <w:bCs/>
          <w:color w:val="0E2647"/>
          <w:sz w:val="24"/>
          <w:szCs w:val="24"/>
        </w:rPr>
        <w:t xml:space="preserve">2. Tier Overview</w:t>
      </w:r>
    </w:p>
    <w:tbl>
      <w:tblPr>
        <w:tblW w:type="dxa" w:w="9400"/>
        <w:tblBorders>
          <w:top w:val="single" w:color="D8DEE8" w:sz="4"/>
          <w:left w:val="single" w:color="D8DEE8" w:sz="4"/>
          <w:bottom w:val="single" w:color="D8DEE8" w:sz="4"/>
          <w:right w:val="single" w:color="D8DEE8" w:sz="4"/>
          <w:insideH w:val="single" w:color="D8DEE8" w:sz="4"/>
          <w:insideV w:val="single" w:color="D8DEE8" w:sz="4"/>
        </w:tblBorders>
      </w:tblPr>
      <w:tblGrid>
        <w:gridCol w:w="1600"/>
        <w:gridCol w:w="6400"/>
        <w:gridCol w:w="700"/>
        <w:gridCol w:w="700"/>
      </w:tblGrid>
      <w:tr>
        <w:tc>
          <w:tcPr>
            <w:tcW w:type="dxa" w:w="1600"/>
            <w:shd w:fill="0E2647" w:val="clear"/>
            <w:tcMar>
              <w:top w:type="dxa" w:w="60"/>
              <w:left w:type="dxa" w:w="80"/>
              <w:bottom w:type="dxa" w:w="60"/>
              <w:right w:type="dxa" w:w="70"/>
            </w:tcMar>
          </w:tcPr>
          <w:p>
            <w:r>
              <w:rPr>
                <w:b/>
                <w:bCs/>
                <w:color w:val="FFFFFF"/>
                <w:sz w:val="12"/>
                <w:szCs w:val="12"/>
              </w:rPr>
              <w:t xml:space="preserve">Code</w:t>
            </w:r>
          </w:p>
        </w:tc>
        <w:tc>
          <w:tcPr>
            <w:tcW w:type="dxa" w:w="6400"/>
            <w:shd w:fill="0E2647" w:val="clear"/>
            <w:tcMar>
              <w:top w:type="dxa" w:w="60"/>
              <w:left w:type="dxa" w:w="80"/>
              <w:bottom w:type="dxa" w:w="60"/>
              <w:right w:type="dxa" w:w="70"/>
            </w:tcMar>
          </w:tcPr>
          <w:p>
            <w:r>
              <w:rPr>
                <w:b/>
                <w:bCs/>
                <w:color w:val="FFFFFF"/>
                <w:sz w:val="12"/>
                <w:szCs w:val="12"/>
              </w:rPr>
              <w:t xml:space="preserve">Title</w:t>
            </w:r>
          </w:p>
        </w:tc>
        <w:tc>
          <w:tcPr>
            <w:tcW w:type="dxa" w:w="700"/>
            <w:shd w:fill="0E2647" w:val="clear"/>
            <w:tcMar>
              <w:top w:type="dxa" w:w="60"/>
              <w:left w:type="dxa" w:w="80"/>
              <w:bottom w:type="dxa" w:w="60"/>
              <w:right w:type="dxa" w:w="70"/>
            </w:tcMar>
          </w:tcPr>
          <w:p>
            <w:r>
              <w:rPr>
                <w:b/>
                <w:bCs/>
                <w:color w:val="FFFFFF"/>
                <w:sz w:val="12"/>
                <w:szCs w:val="12"/>
              </w:rPr>
              <w:t xml:space="preserve">EN</w:t>
            </w:r>
          </w:p>
        </w:tc>
        <w:tc>
          <w:tcPr>
            <w:tcW w:type="dxa" w:w="700"/>
            <w:shd w:fill="0E2647" w:val="clear"/>
            <w:tcMar>
              <w:top w:type="dxa" w:w="60"/>
              <w:left w:type="dxa" w:w="80"/>
              <w:bottom w:type="dxa" w:w="60"/>
              <w:right w:type="dxa" w:w="70"/>
            </w:tcMar>
          </w:tcPr>
          <w:p>
            <w:r>
              <w:rPr>
                <w:b/>
                <w:bCs/>
                <w:color w:val="FFFFFF"/>
                <w:sz w:val="12"/>
                <w:szCs w:val="12"/>
              </w:rPr>
              <w:t xml:space="preserve">KA</w:t>
            </w:r>
          </w:p>
        </w:tc>
      </w:tr>
      <w:tr>
        <w:tc>
          <w:tcPr>
            <w:tcW w:type="dxa" w:w="1600"/>
            <w:tcMar>
              <w:top w:type="dxa" w:w="50"/>
              <w:left w:type="dxa" w:w="80"/>
              <w:bottom w:type="dxa" w:w="50"/>
              <w:right w:type="dxa" w:w="70"/>
            </w:tcMar>
            <w:vAlign w:val="center"/>
          </w:tcPr>
          <w:p>
            <w:r>
              <w:rPr>
                <w:b/>
                <w:bCs/>
                <w:sz w:val="13"/>
                <w:szCs w:val="13"/>
              </w:rPr>
              <w:t xml:space="preserve">Tier 1</w:t>
            </w:r>
          </w:p>
        </w:tc>
        <w:tc>
          <w:tcPr>
            <w:tcW w:type="dxa" w:w="6400"/>
            <w:tcMar>
              <w:top w:type="dxa" w:w="50"/>
              <w:left w:type="dxa" w:w="80"/>
              <w:bottom w:type="dxa" w:w="50"/>
              <w:right w:type="dxa" w:w="70"/>
            </w:tcMar>
            <w:vAlign w:val="center"/>
          </w:tcPr>
          <w:p>
            <w:r>
              <w:rPr>
                <w:b w:val="false"/>
                <w:bCs w:val="false"/>
                <w:sz w:val="13"/>
                <w:szCs w:val="13"/>
              </w:rPr>
              <w:t xml:space="preserve">QMS Core Set (H-QMS-01–10)</w:t>
            </w:r>
          </w:p>
        </w:tc>
        <w:tc>
          <w:tcPr>
            <w:tcW w:type="dxa" w:w="700"/>
            <w:tcMar>
              <w:top w:type="dxa" w:w="50"/>
              <w:left w:type="dxa" w:w="80"/>
              <w:bottom w:type="dxa" w:w="50"/>
              <w:right w:type="dxa" w:w="70"/>
            </w:tcMar>
            <w:vAlign w:val="center"/>
          </w:tcPr>
          <w:p>
            <w:r>
              <w:rPr>
                <w:b w:val="false"/>
                <w:bCs w:val="false"/>
                <w:sz w:val="13"/>
                <w:szCs w:val="13"/>
              </w:rPr>
              <w:t xml:space="preserve">10</w:t>
            </w:r>
          </w:p>
        </w:tc>
        <w:tc>
          <w:tcPr>
            <w:tcW w:type="dxa" w:w="700"/>
            <w:tcMar>
              <w:top w:type="dxa" w:w="50"/>
              <w:left w:type="dxa" w:w="80"/>
              <w:bottom w:type="dxa" w:w="50"/>
              <w:right w:type="dxa" w:w="70"/>
            </w:tcMar>
            <w:vAlign w:val="center"/>
          </w:tcPr>
          <w:p>
            <w:r>
              <w:rPr>
                <w:b w:val="false"/>
                <w:bCs w:val="false"/>
                <w:sz w:val="13"/>
                <w:szCs w:val="13"/>
              </w:rPr>
              <w:t xml:space="preserve">13</w:t>
            </w:r>
          </w:p>
        </w:tc>
      </w:tr>
      <w:tr>
        <w:tc>
          <w:tcPr>
            <w:tcW w:type="dxa" w:w="1600"/>
            <w:tcMar>
              <w:top w:type="dxa" w:w="50"/>
              <w:left w:type="dxa" w:w="80"/>
              <w:bottom w:type="dxa" w:w="50"/>
              <w:right w:type="dxa" w:w="70"/>
            </w:tcMar>
            <w:vAlign w:val="center"/>
          </w:tcPr>
          <w:p>
            <w:r>
              <w:rPr>
                <w:b/>
                <w:bCs/>
                <w:sz w:val="13"/>
                <w:szCs w:val="13"/>
              </w:rPr>
              <w:t xml:space="preserve">Tier 2</w:t>
            </w:r>
          </w:p>
        </w:tc>
        <w:tc>
          <w:tcPr>
            <w:tcW w:type="dxa" w:w="6400"/>
            <w:tcMar>
              <w:top w:type="dxa" w:w="50"/>
              <w:left w:type="dxa" w:w="80"/>
              <w:bottom w:type="dxa" w:w="50"/>
              <w:right w:type="dxa" w:w="70"/>
            </w:tcMar>
            <w:vAlign w:val="center"/>
          </w:tcPr>
          <w:p>
            <w:r>
              <w:rPr>
                <w:b w:val="false"/>
                <w:bCs w:val="false"/>
                <w:sz w:val="13"/>
                <w:szCs w:val="13"/>
              </w:rPr>
              <w:t xml:space="preserve">Governance (H-GOV-01–11)</w:t>
            </w:r>
          </w:p>
        </w:tc>
        <w:tc>
          <w:tcPr>
            <w:tcW w:type="dxa" w:w="700"/>
            <w:tcMar>
              <w:top w:type="dxa" w:w="50"/>
              <w:left w:type="dxa" w:w="80"/>
              <w:bottom w:type="dxa" w:w="50"/>
              <w:right w:type="dxa" w:w="70"/>
            </w:tcMar>
            <w:vAlign w:val="center"/>
          </w:tcPr>
          <w:p>
            <w:r>
              <w:rPr>
                <w:b w:val="false"/>
                <w:bCs w:val="false"/>
                <w:sz w:val="13"/>
                <w:szCs w:val="13"/>
              </w:rPr>
              <w:t xml:space="preserve">11</w:t>
            </w:r>
          </w:p>
        </w:tc>
        <w:tc>
          <w:tcPr>
            <w:tcW w:type="dxa" w:w="700"/>
            <w:tcMar>
              <w:top w:type="dxa" w:w="50"/>
              <w:left w:type="dxa" w:w="80"/>
              <w:bottom w:type="dxa" w:w="50"/>
              <w:right w:type="dxa" w:w="70"/>
            </w:tcMar>
            <w:vAlign w:val="center"/>
          </w:tcPr>
          <w:p>
            <w:r>
              <w:rPr>
                <w:b w:val="false"/>
                <w:bCs w:val="false"/>
                <w:sz w:val="13"/>
                <w:szCs w:val="13"/>
              </w:rPr>
              <w:t xml:space="preserve">10</w:t>
            </w:r>
          </w:p>
        </w:tc>
      </w:tr>
      <w:tr>
        <w:tc>
          <w:tcPr>
            <w:tcW w:type="dxa" w:w="1600"/>
            <w:tcMar>
              <w:top w:type="dxa" w:w="50"/>
              <w:left w:type="dxa" w:w="80"/>
              <w:bottom w:type="dxa" w:w="50"/>
              <w:right w:type="dxa" w:w="70"/>
            </w:tcMar>
            <w:vAlign w:val="center"/>
          </w:tcPr>
          <w:p>
            <w:r>
              <w:rPr>
                <w:b/>
                <w:bCs/>
                <w:sz w:val="13"/>
                <w:szCs w:val="13"/>
              </w:rPr>
              <w:t xml:space="preserve">Tier 3</w:t>
            </w:r>
          </w:p>
        </w:tc>
        <w:tc>
          <w:tcPr>
            <w:tcW w:type="dxa" w:w="6400"/>
            <w:tcMar>
              <w:top w:type="dxa" w:w="50"/>
              <w:left w:type="dxa" w:w="80"/>
              <w:bottom w:type="dxa" w:w="50"/>
              <w:right w:type="dxa" w:w="70"/>
            </w:tcMar>
            <w:vAlign w:val="center"/>
          </w:tcPr>
          <w:p>
            <w:r>
              <w:rPr>
                <w:b w:val="false"/>
                <w:bCs w:val="false"/>
                <w:sz w:val="13"/>
                <w:szCs w:val="13"/>
              </w:rPr>
              <w:t xml:space="preserve">General Clinical, IPC, Nursing, Consent, Records, HR</w:t>
            </w:r>
          </w:p>
        </w:tc>
        <w:tc>
          <w:tcPr>
            <w:tcW w:type="dxa" w:w="700"/>
            <w:tcMar>
              <w:top w:type="dxa" w:w="50"/>
              <w:left w:type="dxa" w:w="80"/>
              <w:bottom w:type="dxa" w:w="50"/>
              <w:right w:type="dxa" w:w="70"/>
            </w:tcMar>
            <w:vAlign w:val="center"/>
          </w:tcPr>
          <w:p>
            <w:r>
              <w:rPr>
                <w:b w:val="false"/>
                <w:bCs w:val="false"/>
                <w:sz w:val="13"/>
                <w:szCs w:val="13"/>
              </w:rPr>
              <w:t xml:space="preserve">17</w:t>
            </w:r>
          </w:p>
        </w:tc>
        <w:tc>
          <w:tcPr>
            <w:tcW w:type="dxa" w:w="700"/>
            <w:tcMar>
              <w:top w:type="dxa" w:w="50"/>
              <w:left w:type="dxa" w:w="80"/>
              <w:bottom w:type="dxa" w:w="50"/>
              <w:right w:type="dxa" w:w="70"/>
            </w:tcMar>
            <w:vAlign w:val="center"/>
          </w:tcPr>
          <w:p>
            <w:r>
              <w:rPr>
                <w:b w:val="false"/>
                <w:bCs w:val="false"/>
                <w:sz w:val="13"/>
                <w:szCs w:val="13"/>
              </w:rPr>
              <w:t xml:space="preserve">22</w:t>
            </w:r>
          </w:p>
        </w:tc>
      </w:tr>
      <w:tr>
        <w:tc>
          <w:tcPr>
            <w:tcW w:type="dxa" w:w="1600"/>
            <w:tcMar>
              <w:top w:type="dxa" w:w="50"/>
              <w:left w:type="dxa" w:w="80"/>
              <w:bottom w:type="dxa" w:w="50"/>
              <w:right w:type="dxa" w:w="70"/>
            </w:tcMar>
            <w:vAlign w:val="center"/>
          </w:tcPr>
          <w:p>
            <w:r>
              <w:rPr>
                <w:b/>
                <w:bCs/>
                <w:sz w:val="13"/>
                <w:szCs w:val="13"/>
              </w:rPr>
              <w:t xml:space="preserve">Tier 4</w:t>
            </w:r>
          </w:p>
        </w:tc>
        <w:tc>
          <w:tcPr>
            <w:tcW w:type="dxa" w:w="6400"/>
            <w:tcMar>
              <w:top w:type="dxa" w:w="50"/>
              <w:left w:type="dxa" w:w="80"/>
              <w:bottom w:type="dxa" w:w="50"/>
              <w:right w:type="dxa" w:w="70"/>
            </w:tcMar>
            <w:vAlign w:val="center"/>
          </w:tcPr>
          <w:p>
            <w:r>
              <w:rPr>
                <w:b w:val="false"/>
                <w:bCs w:val="false"/>
                <w:sz w:val="13"/>
                <w:szCs w:val="13"/>
              </w:rPr>
              <w:t xml:space="preserve">Laboratory &amp; Diagnostics (H-LAB-01–17)</w:t>
            </w:r>
          </w:p>
        </w:tc>
        <w:tc>
          <w:tcPr>
            <w:tcW w:type="dxa" w:w="700"/>
            <w:tcMar>
              <w:top w:type="dxa" w:w="50"/>
              <w:left w:type="dxa" w:w="80"/>
              <w:bottom w:type="dxa" w:w="50"/>
              <w:right w:type="dxa" w:w="70"/>
            </w:tcMar>
            <w:vAlign w:val="center"/>
          </w:tcPr>
          <w:p>
            <w:r>
              <w:rPr>
                <w:b w:val="false"/>
                <w:bCs w:val="false"/>
                <w:sz w:val="13"/>
                <w:szCs w:val="13"/>
              </w:rPr>
              <w:t xml:space="preserve">17</w:t>
            </w:r>
          </w:p>
        </w:tc>
        <w:tc>
          <w:tcPr>
            <w:tcW w:type="dxa" w:w="700"/>
            <w:tcMar>
              <w:top w:type="dxa" w:w="50"/>
              <w:left w:type="dxa" w:w="80"/>
              <w:bottom w:type="dxa" w:w="50"/>
              <w:right w:type="dxa" w:w="70"/>
            </w:tcMar>
            <w:vAlign w:val="center"/>
          </w:tcPr>
          <w:p>
            <w:r>
              <w:rPr>
                <w:b w:val="false"/>
                <w:bCs w:val="false"/>
                <w:sz w:val="13"/>
                <w:szCs w:val="13"/>
              </w:rPr>
              <w:t xml:space="preserve">20</w:t>
            </w:r>
          </w:p>
        </w:tc>
      </w:tr>
      <w:tr>
        <w:tc>
          <w:tcPr>
            <w:tcW w:type="dxa" w:w="1600"/>
            <w:tcMar>
              <w:top w:type="dxa" w:w="50"/>
              <w:left w:type="dxa" w:w="80"/>
              <w:bottom w:type="dxa" w:w="50"/>
              <w:right w:type="dxa" w:w="70"/>
            </w:tcMar>
            <w:vAlign w:val="center"/>
          </w:tcPr>
          <w:p>
            <w:r>
              <w:rPr>
                <w:b/>
                <w:bCs/>
                <w:sz w:val="13"/>
                <w:szCs w:val="13"/>
              </w:rPr>
              <w:t xml:space="preserve">Tier 5</w:t>
            </w:r>
          </w:p>
        </w:tc>
        <w:tc>
          <w:tcPr>
            <w:tcW w:type="dxa" w:w="6400"/>
            <w:tcMar>
              <w:top w:type="dxa" w:w="50"/>
              <w:left w:type="dxa" w:w="80"/>
              <w:bottom w:type="dxa" w:w="50"/>
              <w:right w:type="dxa" w:w="70"/>
            </w:tcMar>
            <w:vAlign w:val="center"/>
          </w:tcPr>
          <w:p>
            <w:r>
              <w:rPr>
                <w:b w:val="false"/>
                <w:bCs w:val="false"/>
                <w:sz w:val="13"/>
                <w:szCs w:val="13"/>
              </w:rPr>
              <w:t xml:space="preserve">Oncology (H-ONC-01–07)</w:t>
            </w:r>
          </w:p>
        </w:tc>
        <w:tc>
          <w:tcPr>
            <w:tcW w:type="dxa" w:w="700"/>
            <w:tcMar>
              <w:top w:type="dxa" w:w="50"/>
              <w:left w:type="dxa" w:w="80"/>
              <w:bottom w:type="dxa" w:w="50"/>
              <w:right w:type="dxa" w:w="70"/>
            </w:tcMar>
            <w:vAlign w:val="center"/>
          </w:tcPr>
          <w:p>
            <w:r>
              <w:rPr>
                <w:b w:val="false"/>
                <w:bCs w:val="false"/>
                <w:sz w:val="13"/>
                <w:szCs w:val="13"/>
              </w:rPr>
              <w:t xml:space="preserve">7</w:t>
            </w:r>
          </w:p>
        </w:tc>
        <w:tc>
          <w:tcPr>
            <w:tcW w:type="dxa" w:w="700"/>
            <w:tcMar>
              <w:top w:type="dxa" w:w="50"/>
              <w:left w:type="dxa" w:w="80"/>
              <w:bottom w:type="dxa" w:w="50"/>
              <w:right w:type="dxa" w:w="70"/>
            </w:tcMar>
            <w:vAlign w:val="center"/>
          </w:tcPr>
          <w:p>
            <w:r>
              <w:rPr>
                <w:b w:val="false"/>
                <w:bCs w:val="false"/>
                <w:sz w:val="13"/>
                <w:szCs w:val="13"/>
              </w:rPr>
              <w:t xml:space="preserve">8</w:t>
            </w:r>
          </w:p>
        </w:tc>
      </w:tr>
      <w:tr>
        <w:tc>
          <w:tcPr>
            <w:tcW w:type="dxa" w:w="1600"/>
            <w:tcMar>
              <w:top w:type="dxa" w:w="50"/>
              <w:left w:type="dxa" w:w="80"/>
              <w:bottom w:type="dxa" w:w="50"/>
              <w:right w:type="dxa" w:w="70"/>
            </w:tcMar>
            <w:vAlign w:val="center"/>
          </w:tcPr>
          <w:p>
            <w:r>
              <w:rPr>
                <w:b/>
                <w:bCs/>
                <w:sz w:val="13"/>
                <w:szCs w:val="13"/>
              </w:rPr>
              <w:t xml:space="preserve">Tier 6</w:t>
            </w:r>
          </w:p>
        </w:tc>
        <w:tc>
          <w:tcPr>
            <w:tcW w:type="dxa" w:w="6400"/>
            <w:tcMar>
              <w:top w:type="dxa" w:w="50"/>
              <w:left w:type="dxa" w:w="80"/>
              <w:bottom w:type="dxa" w:w="50"/>
              <w:right w:type="dxa" w:w="70"/>
            </w:tcMar>
            <w:vAlign w:val="center"/>
          </w:tcPr>
          <w:p>
            <w:r>
              <w:rPr>
                <w:b w:val="false"/>
                <w:bCs w:val="false"/>
                <w:sz w:val="13"/>
                <w:szCs w:val="13"/>
              </w:rPr>
              <w:t xml:space="preserve">Pediatric (H-PED-01–04)</w:t>
            </w:r>
          </w:p>
        </w:tc>
        <w:tc>
          <w:tcPr>
            <w:tcW w:type="dxa" w:w="700"/>
            <w:tcMar>
              <w:top w:type="dxa" w:w="50"/>
              <w:left w:type="dxa" w:w="80"/>
              <w:bottom w:type="dxa" w:w="50"/>
              <w:right w:type="dxa" w:w="70"/>
            </w:tcMar>
            <w:vAlign w:val="center"/>
          </w:tcPr>
          <w:p>
            <w:r>
              <w:rPr>
                <w:b w:val="false"/>
                <w:bCs w:val="false"/>
                <w:sz w:val="13"/>
                <w:szCs w:val="13"/>
              </w:rPr>
              <w:t xml:space="preserve">4</w:t>
            </w:r>
          </w:p>
        </w:tc>
        <w:tc>
          <w:tcPr>
            <w:tcW w:type="dxa" w:w="700"/>
            <w:tcMar>
              <w:top w:type="dxa" w:w="50"/>
              <w:left w:type="dxa" w:w="80"/>
              <w:bottom w:type="dxa" w:w="50"/>
              <w:right w:type="dxa" w:w="70"/>
            </w:tcMar>
            <w:vAlign w:val="center"/>
          </w:tcPr>
          <w:p>
            <w:r>
              <w:rPr>
                <w:b w:val="false"/>
                <w:bCs w:val="false"/>
                <w:sz w:val="13"/>
                <w:szCs w:val="13"/>
              </w:rPr>
              <w:t xml:space="preserve">4</w:t>
            </w:r>
          </w:p>
        </w:tc>
      </w:tr>
      <w:tr>
        <w:tc>
          <w:tcPr>
            <w:tcW w:type="dxa" w:w="1600"/>
            <w:tcMar>
              <w:top w:type="dxa" w:w="50"/>
              <w:left w:type="dxa" w:w="80"/>
              <w:bottom w:type="dxa" w:w="50"/>
              <w:right w:type="dxa" w:w="70"/>
            </w:tcMar>
            <w:vAlign w:val="center"/>
          </w:tcPr>
          <w:p>
            <w:r>
              <w:rPr>
                <w:b/>
                <w:bCs/>
                <w:sz w:val="13"/>
                <w:szCs w:val="13"/>
              </w:rPr>
              <w:t xml:space="preserve">Tier 7</w:t>
            </w:r>
          </w:p>
        </w:tc>
        <w:tc>
          <w:tcPr>
            <w:tcW w:type="dxa" w:w="6400"/>
            <w:tcMar>
              <w:top w:type="dxa" w:w="50"/>
              <w:left w:type="dxa" w:w="80"/>
              <w:bottom w:type="dxa" w:w="50"/>
              <w:right w:type="dxa" w:w="70"/>
            </w:tcMar>
            <w:vAlign w:val="center"/>
          </w:tcPr>
          <w:p>
            <w:r>
              <w:rPr>
                <w:b w:val="false"/>
                <w:bCs w:val="false"/>
                <w:sz w:val="13"/>
                <w:szCs w:val="13"/>
              </w:rPr>
              <w:t xml:space="preserve">Cross-Cutting &amp; Facility (incl. Life Safety, Medical Gas)</w:t>
            </w:r>
          </w:p>
        </w:tc>
        <w:tc>
          <w:tcPr>
            <w:tcW w:type="dxa" w:w="700"/>
            <w:tcMar>
              <w:top w:type="dxa" w:w="50"/>
              <w:left w:type="dxa" w:w="80"/>
              <w:bottom w:type="dxa" w:w="50"/>
              <w:right w:type="dxa" w:w="70"/>
            </w:tcMar>
            <w:vAlign w:val="center"/>
          </w:tcPr>
          <w:p>
            <w:r>
              <w:rPr>
                <w:b w:val="false"/>
                <w:bCs w:val="false"/>
                <w:sz w:val="13"/>
                <w:szCs w:val="13"/>
              </w:rPr>
              <w:t xml:space="preserve">14</w:t>
            </w:r>
          </w:p>
        </w:tc>
        <w:tc>
          <w:tcPr>
            <w:tcW w:type="dxa" w:w="700"/>
            <w:tcMar>
              <w:top w:type="dxa" w:w="50"/>
              <w:left w:type="dxa" w:w="80"/>
              <w:bottom w:type="dxa" w:w="50"/>
              <w:right w:type="dxa" w:w="70"/>
            </w:tcMar>
            <w:vAlign w:val="center"/>
          </w:tcPr>
          <w:p>
            <w:r>
              <w:rPr>
                <w:b w:val="false"/>
                <w:bCs w:val="false"/>
                <w:sz w:val="13"/>
                <w:szCs w:val="13"/>
              </w:rPr>
              <w:t xml:space="preserve">18</w:t>
            </w:r>
          </w:p>
        </w:tc>
      </w:tr>
      <w:tr>
        <w:tc>
          <w:tcPr>
            <w:tcW w:type="dxa" w:w="1600"/>
            <w:tcMar>
              <w:top w:type="dxa" w:w="50"/>
              <w:left w:type="dxa" w:w="80"/>
              <w:bottom w:type="dxa" w:w="50"/>
              <w:right w:type="dxa" w:w="70"/>
            </w:tcMar>
            <w:vAlign w:val="center"/>
          </w:tcPr>
          <w:p>
            <w:r>
              <w:rPr>
                <w:b/>
                <w:bCs/>
                <w:sz w:val="13"/>
                <w:szCs w:val="13"/>
              </w:rPr>
              <w:t xml:space="preserve">Tier C</w:t>
            </w:r>
          </w:p>
        </w:tc>
        <w:tc>
          <w:tcPr>
            <w:tcW w:type="dxa" w:w="6400"/>
            <w:tcMar>
              <w:top w:type="dxa" w:w="50"/>
              <w:left w:type="dxa" w:w="80"/>
              <w:bottom w:type="dxa" w:w="50"/>
              <w:right w:type="dxa" w:w="70"/>
            </w:tcMar>
            <w:vAlign w:val="center"/>
          </w:tcPr>
          <w:p>
            <w:r>
              <w:rPr>
                <w:b w:val="false"/>
                <w:bCs w:val="false"/>
                <w:sz w:val="13"/>
                <w:szCs w:val="13"/>
              </w:rPr>
              <w:t xml:space="preserve">Dialysis (H-DIAL-01–05)</w:t>
            </w:r>
          </w:p>
        </w:tc>
        <w:tc>
          <w:tcPr>
            <w:tcW w:type="dxa" w:w="700"/>
            <w:tcMar>
              <w:top w:type="dxa" w:w="50"/>
              <w:left w:type="dxa" w:w="80"/>
              <w:bottom w:type="dxa" w:w="50"/>
              <w:right w:type="dxa" w:w="70"/>
            </w:tcMar>
            <w:vAlign w:val="center"/>
          </w:tcPr>
          <w:p>
            <w:r>
              <w:rPr>
                <w:b w:val="false"/>
                <w:bCs w:val="false"/>
                <w:sz w:val="13"/>
                <w:szCs w:val="13"/>
              </w:rPr>
              <w:t xml:space="preserve">5</w:t>
            </w:r>
          </w:p>
        </w:tc>
        <w:tc>
          <w:tcPr>
            <w:tcW w:type="dxa" w:w="700"/>
            <w:tcMar>
              <w:top w:type="dxa" w:w="50"/>
              <w:left w:type="dxa" w:w="80"/>
              <w:bottom w:type="dxa" w:w="50"/>
              <w:right w:type="dxa" w:w="70"/>
            </w:tcMar>
            <w:vAlign w:val="center"/>
          </w:tcPr>
          <w:p>
            <w:r>
              <w:rPr>
                <w:b w:val="false"/>
                <w:bCs w:val="false"/>
                <w:sz w:val="13"/>
                <w:szCs w:val="13"/>
              </w:rPr>
              <w:t xml:space="preserve">5</w:t>
            </w:r>
          </w:p>
        </w:tc>
      </w:tr>
      <w:tr>
        <w:tc>
          <w:tcPr>
            <w:tcW w:type="dxa" w:w="1600"/>
            <w:tcMar>
              <w:top w:type="dxa" w:w="50"/>
              <w:left w:type="dxa" w:w="80"/>
              <w:bottom w:type="dxa" w:w="50"/>
              <w:right w:type="dxa" w:w="70"/>
            </w:tcMar>
            <w:vAlign w:val="center"/>
          </w:tcPr>
          <w:p>
            <w:r>
              <w:rPr>
                <w:b/>
                <w:bCs/>
                <w:sz w:val="13"/>
                <w:szCs w:val="13"/>
              </w:rPr>
              <w:t xml:space="preserve">—</w:t>
            </w:r>
          </w:p>
        </w:tc>
        <w:tc>
          <w:tcPr>
            <w:tcW w:type="dxa" w:w="6400"/>
            <w:tcMar>
              <w:top w:type="dxa" w:w="50"/>
              <w:left w:type="dxa" w:w="80"/>
              <w:bottom w:type="dxa" w:w="50"/>
              <w:right w:type="dxa" w:w="70"/>
            </w:tcMar>
            <w:vAlign w:val="center"/>
          </w:tcPr>
          <w:p>
            <w:r>
              <w:rPr>
                <w:b w:val="false"/>
                <w:bCs w:val="false"/>
                <w:sz w:val="13"/>
                <w:szCs w:val="13"/>
              </w:rPr>
              <w:t xml:space="preserve">Patient Rights (H-PR-01–06)</w:t>
            </w:r>
          </w:p>
        </w:tc>
        <w:tc>
          <w:tcPr>
            <w:tcW w:type="dxa" w:w="700"/>
            <w:tcMar>
              <w:top w:type="dxa" w:w="50"/>
              <w:left w:type="dxa" w:w="80"/>
              <w:bottom w:type="dxa" w:w="50"/>
              <w:right w:type="dxa" w:w="70"/>
            </w:tcMar>
            <w:vAlign w:val="center"/>
          </w:tcPr>
          <w:p>
            <w:r>
              <w:rPr>
                <w:b w:val="false"/>
                <w:bCs w:val="false"/>
                <w:sz w:val="13"/>
                <w:szCs w:val="13"/>
              </w:rPr>
              <w:t xml:space="preserve">6</w:t>
            </w:r>
          </w:p>
        </w:tc>
        <w:tc>
          <w:tcPr>
            <w:tcW w:type="dxa" w:w="700"/>
            <w:tcMar>
              <w:top w:type="dxa" w:w="50"/>
              <w:left w:type="dxa" w:w="80"/>
              <w:bottom w:type="dxa" w:w="50"/>
              <w:right w:type="dxa" w:w="70"/>
            </w:tcMar>
            <w:vAlign w:val="center"/>
          </w:tcPr>
          <w:p>
            <w:r>
              <w:rPr>
                <w:b w:val="false"/>
                <w:bCs w:val="false"/>
                <w:sz w:val="13"/>
                <w:szCs w:val="13"/>
              </w:rPr>
              <w:t xml:space="preserve">3</w:t>
            </w:r>
          </w:p>
        </w:tc>
      </w:tr>
      <w:tr>
        <w:tc>
          <w:tcPr>
            <w:tcW w:type="dxa" w:w="1600"/>
            <w:tcMar>
              <w:top w:type="dxa" w:w="50"/>
              <w:left w:type="dxa" w:w="80"/>
              <w:bottom w:type="dxa" w:w="50"/>
              <w:right w:type="dxa" w:w="70"/>
            </w:tcMar>
            <w:vAlign w:val="center"/>
          </w:tcPr>
          <w:p>
            <w:r>
              <w:rPr>
                <w:b/>
                <w:bCs/>
                <w:sz w:val="13"/>
                <w:szCs w:val="13"/>
              </w:rPr>
              <w:t xml:space="preserve">—</w:t>
            </w:r>
          </w:p>
        </w:tc>
        <w:tc>
          <w:tcPr>
            <w:tcW w:type="dxa" w:w="6400"/>
            <w:tcMar>
              <w:top w:type="dxa" w:w="50"/>
              <w:left w:type="dxa" w:w="80"/>
              <w:bottom w:type="dxa" w:w="50"/>
              <w:right w:type="dxa" w:w="70"/>
            </w:tcMar>
            <w:vAlign w:val="center"/>
          </w:tcPr>
          <w:p>
            <w:r>
              <w:rPr>
                <w:b w:val="false"/>
                <w:bCs w:val="false"/>
                <w:sz w:val="13"/>
                <w:szCs w:val="13"/>
              </w:rPr>
              <w:t xml:space="preserve">Surgical, Anesthesia, Blood Bank, CSSD</w:t>
            </w:r>
          </w:p>
        </w:tc>
        <w:tc>
          <w:tcPr>
            <w:tcW w:type="dxa" w:w="700"/>
            <w:tcMar>
              <w:top w:type="dxa" w:w="50"/>
              <w:left w:type="dxa" w:w="80"/>
              <w:bottom w:type="dxa" w:w="50"/>
              <w:right w:type="dxa" w:w="70"/>
            </w:tcMar>
            <w:vAlign w:val="center"/>
          </w:tcPr>
          <w:p>
            <w:r>
              <w:rPr>
                <w:b w:val="false"/>
                <w:bCs w:val="false"/>
                <w:sz w:val="13"/>
                <w:szCs w:val="13"/>
              </w:rPr>
              <w:t xml:space="preserve">4</w:t>
            </w:r>
          </w:p>
        </w:tc>
        <w:tc>
          <w:tcPr>
            <w:tcW w:type="dxa" w:w="700"/>
            <w:tcMar>
              <w:top w:type="dxa" w:w="50"/>
              <w:left w:type="dxa" w:w="80"/>
              <w:bottom w:type="dxa" w:w="50"/>
              <w:right w:type="dxa" w:w="70"/>
            </w:tcMar>
            <w:vAlign w:val="center"/>
          </w:tcPr>
          <w:p>
            <w:r>
              <w:rPr>
                <w:b w:val="false"/>
                <w:bCs w:val="false"/>
                <w:sz w:val="13"/>
                <w:szCs w:val="13"/>
              </w:rPr>
              <w:t xml:space="preserve">6</w:t>
            </w:r>
          </w:p>
        </w:tc>
      </w:tr>
      <w:tr>
        <w:tc>
          <w:tcPr>
            <w:tcW w:type="dxa" w:w="1600"/>
            <w:tcMar>
              <w:top w:type="dxa" w:w="50"/>
              <w:left w:type="dxa" w:w="80"/>
              <w:bottom w:type="dxa" w:w="50"/>
              <w:right w:type="dxa" w:w="70"/>
            </w:tcMar>
            <w:vAlign w:val="center"/>
          </w:tcPr>
          <w:p>
            <w:r>
              <w:rPr>
                <w:b/>
                <w:bCs/>
                <w:sz w:val="13"/>
                <w:szCs w:val="13"/>
              </w:rPr>
              <w:t xml:space="preserve">—</w:t>
            </w:r>
          </w:p>
        </w:tc>
        <w:tc>
          <w:tcPr>
            <w:tcW w:type="dxa" w:w="6400"/>
            <w:tcMar>
              <w:top w:type="dxa" w:w="50"/>
              <w:left w:type="dxa" w:w="80"/>
              <w:bottom w:type="dxa" w:w="50"/>
              <w:right w:type="dxa" w:w="70"/>
            </w:tcMar>
            <w:vAlign w:val="center"/>
          </w:tcPr>
          <w:p>
            <w:r>
              <w:rPr>
                <w:b w:val="false"/>
                <w:bCs w:val="false"/>
                <w:sz w:val="13"/>
                <w:szCs w:val="13"/>
              </w:rPr>
              <w:t xml:space="preserve">Inpatient-Specific Operations (Restraint, Discharge, ICU, UR, ADT, Food, Organ Procurement, Mortality)</w:t>
            </w:r>
          </w:p>
        </w:tc>
        <w:tc>
          <w:tcPr>
            <w:tcW w:type="dxa" w:w="700"/>
            <w:tcMar>
              <w:top w:type="dxa" w:w="50"/>
              <w:left w:type="dxa" w:w="80"/>
              <w:bottom w:type="dxa" w:w="50"/>
              <w:right w:type="dxa" w:w="70"/>
            </w:tcMar>
            <w:vAlign w:val="center"/>
          </w:tcPr>
          <w:p>
            <w:r>
              <w:rPr>
                <w:b w:val="false"/>
                <w:bCs w:val="false"/>
                <w:sz w:val="13"/>
                <w:szCs w:val="13"/>
              </w:rPr>
              <w:t xml:space="preserve">8</w:t>
            </w:r>
          </w:p>
        </w:tc>
        <w:tc>
          <w:tcPr>
            <w:tcW w:type="dxa" w:w="700"/>
            <w:tcMar>
              <w:top w:type="dxa" w:w="50"/>
              <w:left w:type="dxa" w:w="80"/>
              <w:bottom w:type="dxa" w:w="50"/>
              <w:right w:type="dxa" w:w="70"/>
            </w:tcMar>
            <w:vAlign w:val="center"/>
          </w:tcPr>
          <w:p>
            <w:r>
              <w:rPr>
                <w:b w:val="false"/>
                <w:bCs w:val="false"/>
                <w:sz w:val="13"/>
                <w:szCs w:val="13"/>
              </w:rPr>
              <w:t xml:space="preserve">9</w:t>
            </w:r>
          </w:p>
        </w:tc>
      </w:tr>
      <w:tr>
        <w:tc>
          <w:tcPr>
            <w:tcW w:type="dxa" w:w="1600"/>
            <w:tcMar>
              <w:top w:type="dxa" w:w="50"/>
              <w:left w:type="dxa" w:w="80"/>
              <w:bottom w:type="dxa" w:w="50"/>
              <w:right w:type="dxa" w:w="70"/>
            </w:tcMar>
            <w:vAlign w:val="center"/>
          </w:tcPr>
          <w:p>
            <w:r>
              <w:rPr>
                <w:b/>
                <w:bCs/>
                <w:sz w:val="13"/>
                <w:szCs w:val="13"/>
              </w:rPr>
              <w:t xml:space="preserve">—</w:t>
            </w:r>
          </w:p>
        </w:tc>
        <w:tc>
          <w:tcPr>
            <w:tcW w:type="dxa" w:w="6400"/>
            <w:tcMar>
              <w:top w:type="dxa" w:w="50"/>
              <w:left w:type="dxa" w:w="80"/>
              <w:bottom w:type="dxa" w:w="50"/>
              <w:right w:type="dxa" w:w="70"/>
            </w:tcMar>
            <w:vAlign w:val="center"/>
          </w:tcPr>
          <w:p>
            <w:r>
              <w:rPr>
                <w:b w:val="false"/>
                <w:bCs w:val="false"/>
                <w:sz w:val="13"/>
                <w:szCs w:val="13"/>
              </w:rPr>
              <w:t xml:space="preserve">Pharmacy Services (Sterile Compounding)</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2</w:t>
            </w:r>
          </w:p>
        </w:tc>
      </w:tr>
    </w:tbl>
    <w:p>
      <w:pPr>
        <w:pStyle w:val="Heading1"/>
        <w:pageBreakBefore/>
        <w:spacing w:after="110" w:before="220"/>
      </w:pPr>
      <w:r>
        <w:rPr>
          <w:b/>
          <w:bCs/>
          <w:color w:val="0E2647"/>
          <w:sz w:val="24"/>
          <w:szCs w:val="24"/>
        </w:rPr>
        <w:t xml:space="preserve">3. Tier 1 — QMS Core Set</w:t>
      </w:r>
    </w:p>
    <w:tbl>
      <w:tblPr>
        <w:tblW w:type="dxa" w:w="9400"/>
        <w:tblBorders>
          <w:top w:val="single" w:color="D8DEE8" w:sz="4"/>
          <w:left w:val="single" w:color="D8DEE8" w:sz="4"/>
          <w:bottom w:val="single" w:color="D8DEE8" w:sz="4"/>
          <w:right w:val="single" w:color="D8DEE8" w:sz="4"/>
          <w:insideH w:val="single" w:color="D8DEE8" w:sz="4"/>
          <w:insideV w:val="single" w:color="D8DEE8" w:sz="4"/>
        </w:tblBorders>
      </w:tblPr>
      <w:tblGrid>
        <w:gridCol w:w="1600"/>
        <w:gridCol w:w="6400"/>
        <w:gridCol w:w="700"/>
        <w:gridCol w:w="700"/>
      </w:tblGrid>
      <w:tr>
        <w:tc>
          <w:tcPr>
            <w:tcW w:type="dxa" w:w="1600"/>
            <w:shd w:fill="0E2647" w:val="clear"/>
            <w:tcMar>
              <w:top w:type="dxa" w:w="60"/>
              <w:left w:type="dxa" w:w="80"/>
              <w:bottom w:type="dxa" w:w="60"/>
              <w:right w:type="dxa" w:w="70"/>
            </w:tcMar>
          </w:tcPr>
          <w:p>
            <w:r>
              <w:rPr>
                <w:b/>
                <w:bCs/>
                <w:color w:val="FFFFFF"/>
                <w:sz w:val="12"/>
                <w:szCs w:val="12"/>
              </w:rPr>
              <w:t xml:space="preserve">Code</w:t>
            </w:r>
          </w:p>
        </w:tc>
        <w:tc>
          <w:tcPr>
            <w:tcW w:type="dxa" w:w="6400"/>
            <w:shd w:fill="0E2647" w:val="clear"/>
            <w:tcMar>
              <w:top w:type="dxa" w:w="60"/>
              <w:left w:type="dxa" w:w="80"/>
              <w:bottom w:type="dxa" w:w="60"/>
              <w:right w:type="dxa" w:w="70"/>
            </w:tcMar>
          </w:tcPr>
          <w:p>
            <w:r>
              <w:rPr>
                <w:b/>
                <w:bCs/>
                <w:color w:val="FFFFFF"/>
                <w:sz w:val="12"/>
                <w:szCs w:val="12"/>
              </w:rPr>
              <w:t xml:space="preserve">Title</w:t>
            </w:r>
          </w:p>
        </w:tc>
        <w:tc>
          <w:tcPr>
            <w:tcW w:type="dxa" w:w="700"/>
            <w:shd w:fill="0E2647" w:val="clear"/>
            <w:tcMar>
              <w:top w:type="dxa" w:w="60"/>
              <w:left w:type="dxa" w:w="80"/>
              <w:bottom w:type="dxa" w:w="60"/>
              <w:right w:type="dxa" w:w="70"/>
            </w:tcMar>
          </w:tcPr>
          <w:p>
            <w:r>
              <w:rPr>
                <w:b/>
                <w:bCs/>
                <w:color w:val="FFFFFF"/>
                <w:sz w:val="12"/>
                <w:szCs w:val="12"/>
              </w:rPr>
              <w:t xml:space="preserve">EN</w:t>
            </w:r>
          </w:p>
        </w:tc>
        <w:tc>
          <w:tcPr>
            <w:tcW w:type="dxa" w:w="700"/>
            <w:shd w:fill="0E2647" w:val="clear"/>
            <w:tcMar>
              <w:top w:type="dxa" w:w="60"/>
              <w:left w:type="dxa" w:w="80"/>
              <w:bottom w:type="dxa" w:w="60"/>
              <w:right w:type="dxa" w:w="70"/>
            </w:tcMar>
          </w:tcPr>
          <w:p>
            <w:r>
              <w:rPr>
                <w:b/>
                <w:bCs/>
                <w:color w:val="FFFFFF"/>
                <w:sz w:val="12"/>
                <w:szCs w:val="12"/>
              </w:rPr>
              <w:t xml:space="preserve">KA</w:t>
            </w:r>
          </w:p>
        </w:tc>
      </w:tr>
      <w:tr>
        <w:tc>
          <w:tcPr>
            <w:tcW w:type="dxa" w:w="1600"/>
            <w:tcMar>
              <w:top w:type="dxa" w:w="50"/>
              <w:left w:type="dxa" w:w="80"/>
              <w:bottom w:type="dxa" w:w="50"/>
              <w:right w:type="dxa" w:w="70"/>
            </w:tcMar>
            <w:vAlign w:val="center"/>
          </w:tcPr>
          <w:p>
            <w:r>
              <w:rPr>
                <w:b/>
                <w:bCs/>
                <w:sz w:val="13"/>
                <w:szCs w:val="13"/>
              </w:rPr>
              <w:t xml:space="preserve">H-QMS-01</w:t>
            </w:r>
          </w:p>
        </w:tc>
        <w:tc>
          <w:tcPr>
            <w:tcW w:type="dxa" w:w="6400"/>
            <w:tcMar>
              <w:top w:type="dxa" w:w="50"/>
              <w:left w:type="dxa" w:w="80"/>
              <w:bottom w:type="dxa" w:w="50"/>
              <w:right w:type="dxa" w:w="70"/>
            </w:tcMar>
            <w:vAlign w:val="center"/>
          </w:tcPr>
          <w:p>
            <w:r>
              <w:rPr>
                <w:b w:val="false"/>
                <w:bCs w:val="false"/>
                <w:sz w:val="13"/>
                <w:szCs w:val="13"/>
              </w:rPr>
              <w:t xml:space="preserve">Context of the Organization and Interested Parties</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H-QMS-02</w:t>
            </w:r>
          </w:p>
        </w:tc>
        <w:tc>
          <w:tcPr>
            <w:tcW w:type="dxa" w:w="6400"/>
            <w:tcMar>
              <w:top w:type="dxa" w:w="50"/>
              <w:left w:type="dxa" w:w="80"/>
              <w:bottom w:type="dxa" w:w="50"/>
              <w:right w:type="dxa" w:w="70"/>
            </w:tcMar>
            <w:vAlign w:val="center"/>
          </w:tcPr>
          <w:p>
            <w:r>
              <w:rPr>
                <w:b w:val="false"/>
                <w:bCs w:val="false"/>
                <w:sz w:val="13"/>
                <w:szCs w:val="13"/>
              </w:rPr>
              <w:t xml:space="preserve">Scope of the Quality Management System</w:t>
            </w:r>
          </w:p>
        </w:tc>
        <w:tc>
          <w:tcPr>
            <w:tcW w:type="dxa" w:w="700"/>
            <w:tcMar>
              <w:top w:type="dxa" w:w="50"/>
              <w:left w:type="dxa" w:w="80"/>
              <w:bottom w:type="dxa" w:w="50"/>
              <w:right w:type="dxa" w:w="70"/>
            </w:tcMar>
            <w:vAlign w:val="center"/>
          </w:tcPr>
          <w:p>
            <w:r>
              <w:rPr>
                <w:b w:val="false"/>
                <w:bCs w:val="false"/>
                <w:sz w:val="13"/>
                <w:szCs w:val="13"/>
              </w:rPr>
              <w:t xml:space="preserve">—</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H-QMS-03</w:t>
            </w:r>
          </w:p>
        </w:tc>
        <w:tc>
          <w:tcPr>
            <w:tcW w:type="dxa" w:w="6400"/>
            <w:tcMar>
              <w:top w:type="dxa" w:w="50"/>
              <w:left w:type="dxa" w:w="80"/>
              <w:bottom w:type="dxa" w:w="50"/>
              <w:right w:type="dxa" w:w="70"/>
            </w:tcMar>
            <w:vAlign w:val="center"/>
          </w:tcPr>
          <w:p>
            <w:r>
              <w:rPr>
                <w:b w:val="false"/>
                <w:bCs w:val="false"/>
                <w:sz w:val="13"/>
                <w:szCs w:val="13"/>
              </w:rPr>
              <w:t xml:space="preserve">Quality Policy</w:t>
            </w:r>
          </w:p>
        </w:tc>
        <w:tc>
          <w:tcPr>
            <w:tcW w:type="dxa" w:w="700"/>
            <w:tcMar>
              <w:top w:type="dxa" w:w="50"/>
              <w:left w:type="dxa" w:w="80"/>
              <w:bottom w:type="dxa" w:w="50"/>
              <w:right w:type="dxa" w:w="70"/>
            </w:tcMar>
            <w:vAlign w:val="center"/>
          </w:tcPr>
          <w:p>
            <w:r>
              <w:rPr>
                <w:b w:val="false"/>
                <w:bCs w:val="false"/>
                <w:sz w:val="13"/>
                <w:szCs w:val="13"/>
              </w:rPr>
              <w:t xml:space="preserve">—</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H-QMS-04</w:t>
            </w:r>
          </w:p>
        </w:tc>
        <w:tc>
          <w:tcPr>
            <w:tcW w:type="dxa" w:w="6400"/>
            <w:tcMar>
              <w:top w:type="dxa" w:w="50"/>
              <w:left w:type="dxa" w:w="80"/>
              <w:bottom w:type="dxa" w:w="50"/>
              <w:right w:type="dxa" w:w="70"/>
            </w:tcMar>
            <w:vAlign w:val="center"/>
          </w:tcPr>
          <w:p>
            <w:r>
              <w:rPr>
                <w:b w:val="false"/>
                <w:bCs w:val="false"/>
                <w:sz w:val="13"/>
                <w:szCs w:val="13"/>
              </w:rPr>
              <w:t xml:space="preserve">Quality Objectives and Performance Indicators</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H-QMS-05</w:t>
            </w:r>
          </w:p>
        </w:tc>
        <w:tc>
          <w:tcPr>
            <w:tcW w:type="dxa" w:w="6400"/>
            <w:tcMar>
              <w:top w:type="dxa" w:w="50"/>
              <w:left w:type="dxa" w:w="80"/>
              <w:bottom w:type="dxa" w:w="50"/>
              <w:right w:type="dxa" w:w="70"/>
            </w:tcMar>
            <w:vAlign w:val="center"/>
          </w:tcPr>
          <w:p>
            <w:r>
              <w:rPr>
                <w:b w:val="false"/>
                <w:bCs w:val="false"/>
                <w:sz w:val="13"/>
                <w:szCs w:val="13"/>
              </w:rPr>
              <w:t xml:space="preserve">Process Map and Process Interactions</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H-QMS-06</w:t>
            </w:r>
          </w:p>
        </w:tc>
        <w:tc>
          <w:tcPr>
            <w:tcW w:type="dxa" w:w="6400"/>
            <w:tcMar>
              <w:top w:type="dxa" w:w="50"/>
              <w:left w:type="dxa" w:w="80"/>
              <w:bottom w:type="dxa" w:w="50"/>
              <w:right w:type="dxa" w:w="70"/>
            </w:tcMar>
            <w:vAlign w:val="center"/>
          </w:tcPr>
          <w:p>
            <w:r>
              <w:rPr>
                <w:b w:val="false"/>
                <w:bCs w:val="false"/>
                <w:sz w:val="13"/>
                <w:szCs w:val="13"/>
              </w:rPr>
              <w:t xml:space="preserve">Quality Manual</w:t>
            </w:r>
          </w:p>
        </w:tc>
        <w:tc>
          <w:tcPr>
            <w:tcW w:type="dxa" w:w="700"/>
            <w:tcMar>
              <w:top w:type="dxa" w:w="50"/>
              <w:left w:type="dxa" w:w="80"/>
              <w:bottom w:type="dxa" w:w="50"/>
              <w:right w:type="dxa" w:w="70"/>
            </w:tcMar>
            <w:vAlign w:val="center"/>
          </w:tcPr>
          <w:p>
            <w:r>
              <w:rPr>
                <w:b w:val="false"/>
                <w:bCs w:val="false"/>
                <w:sz w:val="13"/>
                <w:szCs w:val="13"/>
              </w:rPr>
              <w:t xml:space="preserve">—</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H-QMS-07</w:t>
            </w:r>
          </w:p>
        </w:tc>
        <w:tc>
          <w:tcPr>
            <w:tcW w:type="dxa" w:w="6400"/>
            <w:tcMar>
              <w:top w:type="dxa" w:w="50"/>
              <w:left w:type="dxa" w:w="80"/>
              <w:bottom w:type="dxa" w:w="50"/>
              <w:right w:type="dxa" w:w="70"/>
            </w:tcMar>
            <w:vAlign w:val="center"/>
          </w:tcPr>
          <w:p>
            <w:r>
              <w:rPr>
                <w:b w:val="false"/>
                <w:bCs w:val="false"/>
                <w:sz w:val="13"/>
                <w:szCs w:val="13"/>
              </w:rPr>
              <w:t xml:space="preserve">Patient Satisfaction and Feedback Measurement</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H-QMS-08</w:t>
            </w:r>
          </w:p>
        </w:tc>
        <w:tc>
          <w:tcPr>
            <w:tcW w:type="dxa" w:w="6400"/>
            <w:tcMar>
              <w:top w:type="dxa" w:w="50"/>
              <w:left w:type="dxa" w:w="80"/>
              <w:bottom w:type="dxa" w:w="50"/>
              <w:right w:type="dxa" w:w="70"/>
            </w:tcMar>
            <w:vAlign w:val="center"/>
          </w:tcPr>
          <w:p>
            <w:r>
              <w:rPr>
                <w:b w:val="false"/>
                <w:bCs w:val="false"/>
                <w:sz w:val="13"/>
                <w:szCs w:val="13"/>
              </w:rPr>
              <w:t xml:space="preserve">Control of Monitoring and Measuring Equipment</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H-QMS-09</w:t>
            </w:r>
          </w:p>
        </w:tc>
        <w:tc>
          <w:tcPr>
            <w:tcW w:type="dxa" w:w="6400"/>
            <w:tcMar>
              <w:top w:type="dxa" w:w="50"/>
              <w:left w:type="dxa" w:w="80"/>
              <w:bottom w:type="dxa" w:w="50"/>
              <w:right w:type="dxa" w:w="70"/>
            </w:tcMar>
            <w:vAlign w:val="center"/>
          </w:tcPr>
          <w:p>
            <w:r>
              <w:rPr>
                <w:b w:val="false"/>
                <w:bCs w:val="false"/>
                <w:sz w:val="13"/>
                <w:szCs w:val="13"/>
              </w:rPr>
              <w:t xml:space="preserve">Competence, Awareness and Training</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H-QMS-10</w:t>
            </w:r>
          </w:p>
        </w:tc>
        <w:tc>
          <w:tcPr>
            <w:tcW w:type="dxa" w:w="6400"/>
            <w:tcMar>
              <w:top w:type="dxa" w:w="50"/>
              <w:left w:type="dxa" w:w="80"/>
              <w:bottom w:type="dxa" w:w="50"/>
              <w:right w:type="dxa" w:w="70"/>
            </w:tcMar>
            <w:vAlign w:val="center"/>
          </w:tcPr>
          <w:p>
            <w:r>
              <w:rPr>
                <w:b w:val="false"/>
                <w:bCs w:val="false"/>
                <w:sz w:val="13"/>
                <w:szCs w:val="13"/>
              </w:rPr>
              <w:t xml:space="preserve">ISO 9001:2015 Clause Crosswalk</w:t>
            </w:r>
          </w:p>
        </w:tc>
        <w:tc>
          <w:tcPr>
            <w:tcW w:type="dxa" w:w="700"/>
            <w:tcMar>
              <w:top w:type="dxa" w:w="50"/>
              <w:left w:type="dxa" w:w="80"/>
              <w:bottom w:type="dxa" w:w="50"/>
              <w:right w:type="dxa" w:w="70"/>
            </w:tcMar>
            <w:vAlign w:val="center"/>
          </w:tcPr>
          <w:p>
            <w:r>
              <w:rPr>
                <w:b w:val="false"/>
                <w:bCs w:val="false"/>
                <w:sz w:val="13"/>
                <w:szCs w:val="13"/>
              </w:rPr>
              <w:t xml:space="preserve">—</w:t>
            </w:r>
          </w:p>
        </w:tc>
        <w:tc>
          <w:tcPr>
            <w:tcW w:type="dxa" w:w="700"/>
            <w:tcMar>
              <w:top w:type="dxa" w:w="50"/>
              <w:left w:type="dxa" w:w="80"/>
              <w:bottom w:type="dxa" w:w="50"/>
              <w:right w:type="dxa" w:w="70"/>
            </w:tcMar>
            <w:vAlign w:val="center"/>
          </w:tcPr>
          <w:p>
            <w:r>
              <w:rPr>
                <w:b w:val="false"/>
                <w:bCs w:val="false"/>
                <w:sz w:val="13"/>
                <w:szCs w:val="13"/>
              </w:rPr>
              <w:t xml:space="preserve">✓</w:t>
            </w:r>
          </w:p>
        </w:tc>
      </w:tr>
    </w:tbl>
    <w:p>
      <w:pPr>
        <w:pStyle w:val="Heading1"/>
        <w:pageBreakBefore/>
        <w:spacing w:after="110" w:before="220"/>
      </w:pPr>
      <w:r>
        <w:rPr>
          <w:b/>
          <w:bCs/>
          <w:color w:val="0E2647"/>
          <w:sz w:val="24"/>
          <w:szCs w:val="24"/>
        </w:rPr>
        <w:t xml:space="preserve">4. Tier 2 — Governance</w:t>
      </w:r>
    </w:p>
    <w:tbl>
      <w:tblPr>
        <w:tblW w:type="dxa" w:w="9400"/>
        <w:tblBorders>
          <w:top w:val="single" w:color="D8DEE8" w:sz="4"/>
          <w:left w:val="single" w:color="D8DEE8" w:sz="4"/>
          <w:bottom w:val="single" w:color="D8DEE8" w:sz="4"/>
          <w:right w:val="single" w:color="D8DEE8" w:sz="4"/>
          <w:insideH w:val="single" w:color="D8DEE8" w:sz="4"/>
          <w:insideV w:val="single" w:color="D8DEE8" w:sz="4"/>
        </w:tblBorders>
      </w:tblPr>
      <w:tblGrid>
        <w:gridCol w:w="1600"/>
        <w:gridCol w:w="6400"/>
        <w:gridCol w:w="700"/>
        <w:gridCol w:w="700"/>
      </w:tblGrid>
      <w:tr>
        <w:tc>
          <w:tcPr>
            <w:tcW w:type="dxa" w:w="1600"/>
            <w:shd w:fill="0E2647" w:val="clear"/>
            <w:tcMar>
              <w:top w:type="dxa" w:w="60"/>
              <w:left w:type="dxa" w:w="80"/>
              <w:bottom w:type="dxa" w:w="60"/>
              <w:right w:type="dxa" w:w="70"/>
            </w:tcMar>
          </w:tcPr>
          <w:p>
            <w:r>
              <w:rPr>
                <w:b/>
                <w:bCs/>
                <w:color w:val="FFFFFF"/>
                <w:sz w:val="12"/>
                <w:szCs w:val="12"/>
              </w:rPr>
              <w:t xml:space="preserve">Code</w:t>
            </w:r>
          </w:p>
        </w:tc>
        <w:tc>
          <w:tcPr>
            <w:tcW w:type="dxa" w:w="6400"/>
            <w:shd w:fill="0E2647" w:val="clear"/>
            <w:tcMar>
              <w:top w:type="dxa" w:w="60"/>
              <w:left w:type="dxa" w:w="80"/>
              <w:bottom w:type="dxa" w:w="60"/>
              <w:right w:type="dxa" w:w="70"/>
            </w:tcMar>
          </w:tcPr>
          <w:p>
            <w:r>
              <w:rPr>
                <w:b/>
                <w:bCs/>
                <w:color w:val="FFFFFF"/>
                <w:sz w:val="12"/>
                <w:szCs w:val="12"/>
              </w:rPr>
              <w:t xml:space="preserve">Title</w:t>
            </w:r>
          </w:p>
        </w:tc>
        <w:tc>
          <w:tcPr>
            <w:tcW w:type="dxa" w:w="700"/>
            <w:shd w:fill="0E2647" w:val="clear"/>
            <w:tcMar>
              <w:top w:type="dxa" w:w="60"/>
              <w:left w:type="dxa" w:w="80"/>
              <w:bottom w:type="dxa" w:w="60"/>
              <w:right w:type="dxa" w:w="70"/>
            </w:tcMar>
          </w:tcPr>
          <w:p>
            <w:r>
              <w:rPr>
                <w:b/>
                <w:bCs/>
                <w:color w:val="FFFFFF"/>
                <w:sz w:val="12"/>
                <w:szCs w:val="12"/>
              </w:rPr>
              <w:t xml:space="preserve">EN</w:t>
            </w:r>
          </w:p>
        </w:tc>
        <w:tc>
          <w:tcPr>
            <w:tcW w:type="dxa" w:w="700"/>
            <w:shd w:fill="0E2647" w:val="clear"/>
            <w:tcMar>
              <w:top w:type="dxa" w:w="60"/>
              <w:left w:type="dxa" w:w="80"/>
              <w:bottom w:type="dxa" w:w="60"/>
              <w:right w:type="dxa" w:w="70"/>
            </w:tcMar>
          </w:tcPr>
          <w:p>
            <w:r>
              <w:rPr>
                <w:b/>
                <w:bCs/>
                <w:color w:val="FFFFFF"/>
                <w:sz w:val="12"/>
                <w:szCs w:val="12"/>
              </w:rPr>
              <w:t xml:space="preserve">KA</w:t>
            </w:r>
          </w:p>
        </w:tc>
      </w:tr>
      <w:tr>
        <w:tc>
          <w:tcPr>
            <w:tcW w:type="dxa" w:w="1600"/>
            <w:tcMar>
              <w:top w:type="dxa" w:w="50"/>
              <w:left w:type="dxa" w:w="80"/>
              <w:bottom w:type="dxa" w:w="50"/>
              <w:right w:type="dxa" w:w="70"/>
            </w:tcMar>
            <w:vAlign w:val="center"/>
          </w:tcPr>
          <w:p>
            <w:r>
              <w:rPr>
                <w:b/>
                <w:bCs/>
                <w:sz w:val="13"/>
                <w:szCs w:val="13"/>
              </w:rPr>
              <w:t xml:space="preserve">H-GOV-01</w:t>
            </w:r>
          </w:p>
        </w:tc>
        <w:tc>
          <w:tcPr>
            <w:tcW w:type="dxa" w:w="6400"/>
            <w:tcMar>
              <w:top w:type="dxa" w:w="50"/>
              <w:left w:type="dxa" w:w="80"/>
              <w:bottom w:type="dxa" w:w="50"/>
              <w:right w:type="dxa" w:w="70"/>
            </w:tcMar>
            <w:vAlign w:val="center"/>
          </w:tcPr>
          <w:p>
            <w:r>
              <w:rPr>
                <w:b w:val="false"/>
                <w:bCs w:val="false"/>
                <w:sz w:val="13"/>
                <w:szCs w:val="13"/>
              </w:rPr>
              <w:t xml:space="preserve">Nonconformity &amp; Corrective Action</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H-GOV-02</w:t>
            </w:r>
          </w:p>
        </w:tc>
        <w:tc>
          <w:tcPr>
            <w:tcW w:type="dxa" w:w="6400"/>
            <w:tcMar>
              <w:top w:type="dxa" w:w="50"/>
              <w:left w:type="dxa" w:w="80"/>
              <w:bottom w:type="dxa" w:w="50"/>
              <w:right w:type="dxa" w:w="70"/>
            </w:tcMar>
            <w:vAlign w:val="center"/>
          </w:tcPr>
          <w:p>
            <w:r>
              <w:rPr>
                <w:b w:val="false"/>
                <w:bCs w:val="false"/>
                <w:sz w:val="13"/>
                <w:szCs w:val="13"/>
              </w:rPr>
              <w:t xml:space="preserve">Internal Audit Program</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H-GOV-03</w:t>
            </w:r>
          </w:p>
        </w:tc>
        <w:tc>
          <w:tcPr>
            <w:tcW w:type="dxa" w:w="6400"/>
            <w:tcMar>
              <w:top w:type="dxa" w:w="50"/>
              <w:left w:type="dxa" w:w="80"/>
              <w:bottom w:type="dxa" w:w="50"/>
              <w:right w:type="dxa" w:w="70"/>
            </w:tcMar>
            <w:vAlign w:val="center"/>
          </w:tcPr>
          <w:p>
            <w:r>
              <w:rPr>
                <w:b w:val="false"/>
                <w:bCs w:val="false"/>
                <w:sz w:val="13"/>
                <w:szCs w:val="13"/>
              </w:rPr>
              <w:t xml:space="preserve">Management Review</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H-GOV-04</w:t>
            </w:r>
          </w:p>
        </w:tc>
        <w:tc>
          <w:tcPr>
            <w:tcW w:type="dxa" w:w="6400"/>
            <w:tcMar>
              <w:top w:type="dxa" w:w="50"/>
              <w:left w:type="dxa" w:w="80"/>
              <w:bottom w:type="dxa" w:w="50"/>
              <w:right w:type="dxa" w:w="70"/>
            </w:tcMar>
            <w:vAlign w:val="center"/>
          </w:tcPr>
          <w:p>
            <w:r>
              <w:rPr>
                <w:b w:val="false"/>
                <w:bCs w:val="false"/>
                <w:sz w:val="13"/>
                <w:szCs w:val="13"/>
              </w:rPr>
              <w:t xml:space="preserve">Document Control</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H-GOV-05</w:t>
            </w:r>
          </w:p>
        </w:tc>
        <w:tc>
          <w:tcPr>
            <w:tcW w:type="dxa" w:w="6400"/>
            <w:tcMar>
              <w:top w:type="dxa" w:w="50"/>
              <w:left w:type="dxa" w:w="80"/>
              <w:bottom w:type="dxa" w:w="50"/>
              <w:right w:type="dxa" w:w="70"/>
            </w:tcMar>
            <w:vAlign w:val="center"/>
          </w:tcPr>
          <w:p>
            <w:r>
              <w:rPr>
                <w:b w:val="false"/>
                <w:bCs w:val="false"/>
                <w:sz w:val="13"/>
                <w:szCs w:val="13"/>
              </w:rPr>
              <w:t xml:space="preserve">Risk Register</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H-GOV-06</w:t>
            </w:r>
          </w:p>
        </w:tc>
        <w:tc>
          <w:tcPr>
            <w:tcW w:type="dxa" w:w="6400"/>
            <w:tcMar>
              <w:top w:type="dxa" w:w="50"/>
              <w:left w:type="dxa" w:w="80"/>
              <w:bottom w:type="dxa" w:w="50"/>
              <w:right w:type="dxa" w:w="70"/>
            </w:tcMar>
            <w:vAlign w:val="center"/>
          </w:tcPr>
          <w:p>
            <w:r>
              <w:rPr>
                <w:b w:val="false"/>
                <w:bCs w:val="false"/>
                <w:sz w:val="13"/>
                <w:szCs w:val="13"/>
              </w:rPr>
              <w:t xml:space="preserve">GDPR Data Protection Policy</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H-GOV-07</w:t>
            </w:r>
          </w:p>
        </w:tc>
        <w:tc>
          <w:tcPr>
            <w:tcW w:type="dxa" w:w="6400"/>
            <w:tcMar>
              <w:top w:type="dxa" w:w="50"/>
              <w:left w:type="dxa" w:w="80"/>
              <w:bottom w:type="dxa" w:w="50"/>
              <w:right w:type="dxa" w:w="70"/>
            </w:tcMar>
            <w:vAlign w:val="center"/>
          </w:tcPr>
          <w:p>
            <w:r>
              <w:rPr>
                <w:b w:val="false"/>
                <w:bCs w:val="false"/>
                <w:sz w:val="13"/>
                <w:szCs w:val="13"/>
              </w:rPr>
              <w:t xml:space="preserve">Cybersecurity &amp; IT Security Policy</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H-GOV-08</w:t>
            </w:r>
          </w:p>
        </w:tc>
        <w:tc>
          <w:tcPr>
            <w:tcW w:type="dxa" w:w="6400"/>
            <w:tcMar>
              <w:top w:type="dxa" w:w="50"/>
              <w:left w:type="dxa" w:w="80"/>
              <w:bottom w:type="dxa" w:w="50"/>
              <w:right w:type="dxa" w:w="70"/>
            </w:tcMar>
            <w:vAlign w:val="center"/>
          </w:tcPr>
          <w:p>
            <w:r>
              <w:rPr>
                <w:b w:val="false"/>
                <w:bCs w:val="false"/>
                <w:sz w:val="13"/>
                <w:szCs w:val="13"/>
              </w:rPr>
              <w:t xml:space="preserve">Conflict of Interest Policy</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H-GOV-09</w:t>
            </w:r>
          </w:p>
        </w:tc>
        <w:tc>
          <w:tcPr>
            <w:tcW w:type="dxa" w:w="6400"/>
            <w:tcMar>
              <w:top w:type="dxa" w:w="50"/>
              <w:left w:type="dxa" w:w="80"/>
              <w:bottom w:type="dxa" w:w="50"/>
              <w:right w:type="dxa" w:w="70"/>
            </w:tcMar>
            <w:vAlign w:val="center"/>
          </w:tcPr>
          <w:p>
            <w:r>
              <w:rPr>
                <w:b w:val="false"/>
                <w:bCs w:val="false"/>
                <w:sz w:val="13"/>
                <w:szCs w:val="13"/>
              </w:rPr>
              <w:t xml:space="preserve">Anti-Bribery &amp; Anti-Corruption Policy</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H-GOV-10</w:t>
            </w:r>
          </w:p>
        </w:tc>
        <w:tc>
          <w:tcPr>
            <w:tcW w:type="dxa" w:w="6400"/>
            <w:tcMar>
              <w:top w:type="dxa" w:w="50"/>
              <w:left w:type="dxa" w:w="80"/>
              <w:bottom w:type="dxa" w:w="50"/>
              <w:right w:type="dxa" w:w="70"/>
            </w:tcMar>
            <w:vAlign w:val="center"/>
          </w:tcPr>
          <w:p>
            <w:r>
              <w:rPr>
                <w:b w:val="false"/>
                <w:bCs w:val="false"/>
                <w:sz w:val="13"/>
                <w:szCs w:val="13"/>
              </w:rPr>
              <w:t xml:space="preserve">Whistleblower Protection Policy</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H-GOV-11</w:t>
            </w:r>
          </w:p>
        </w:tc>
        <w:tc>
          <w:tcPr>
            <w:tcW w:type="dxa" w:w="6400"/>
            <w:tcMar>
              <w:top w:type="dxa" w:w="50"/>
              <w:left w:type="dxa" w:w="80"/>
              <w:bottom w:type="dxa" w:w="50"/>
              <w:right w:type="dxa" w:w="70"/>
            </w:tcMar>
            <w:vAlign w:val="center"/>
          </w:tcPr>
          <w:p>
            <w:r>
              <w:rPr>
                <w:b w:val="false"/>
                <w:bCs w:val="false"/>
                <w:sz w:val="13"/>
                <w:szCs w:val="13"/>
              </w:rPr>
              <w:t xml:space="preserve">Regulatory Crosswalk &amp; Multi-Jurisdiction Reference</w:t>
            </w:r>
          </w:p>
        </w:tc>
        <w:tc>
          <w:tcPr>
            <w:tcW w:type="dxa" w:w="700"/>
            <w:tcMar>
              <w:top w:type="dxa" w:w="50"/>
              <w:left w:type="dxa" w:w="80"/>
              <w:bottom w:type="dxa" w:w="50"/>
              <w:right w:type="dxa" w:w="70"/>
            </w:tcMar>
            <w:vAlign w:val="center"/>
          </w:tcPr>
          <w:p>
            <w:r>
              <w:rPr>
                <w:b w:val="false"/>
                <w:bCs w:val="false"/>
                <w:sz w:val="13"/>
                <w:szCs w:val="13"/>
              </w:rPr>
              <w:t xml:space="preserve">—</w:t>
            </w:r>
          </w:p>
        </w:tc>
        <w:tc>
          <w:tcPr>
            <w:tcW w:type="dxa" w:w="700"/>
            <w:tcMar>
              <w:top w:type="dxa" w:w="50"/>
              <w:left w:type="dxa" w:w="80"/>
              <w:bottom w:type="dxa" w:w="50"/>
              <w:right w:type="dxa" w:w="70"/>
            </w:tcMar>
            <w:vAlign w:val="center"/>
          </w:tcPr>
          <w:p>
            <w:r>
              <w:rPr>
                <w:b w:val="false"/>
                <w:bCs w:val="false"/>
                <w:sz w:val="13"/>
                <w:szCs w:val="13"/>
              </w:rPr>
              <w:t xml:space="preserve">✓</w:t>
            </w:r>
          </w:p>
        </w:tc>
      </w:tr>
    </w:tbl>
    <w:p>
      <w:pPr>
        <w:pStyle w:val="Heading1"/>
        <w:pageBreakBefore/>
        <w:spacing w:after="110" w:before="220"/>
      </w:pPr>
      <w:r>
        <w:rPr>
          <w:b/>
          <w:bCs/>
          <w:color w:val="0E2647"/>
          <w:sz w:val="24"/>
          <w:szCs w:val="24"/>
        </w:rPr>
        <w:t xml:space="preserve">5. Tier 3 — General Clinical, IPC, Nursing, Consent, Records, HR</w:t>
      </w:r>
    </w:p>
    <w:tbl>
      <w:tblPr>
        <w:tblW w:type="dxa" w:w="9400"/>
        <w:tblBorders>
          <w:top w:val="single" w:color="D8DEE8" w:sz="4"/>
          <w:left w:val="single" w:color="D8DEE8" w:sz="4"/>
          <w:bottom w:val="single" w:color="D8DEE8" w:sz="4"/>
          <w:right w:val="single" w:color="D8DEE8" w:sz="4"/>
          <w:insideH w:val="single" w:color="D8DEE8" w:sz="4"/>
          <w:insideV w:val="single" w:color="D8DEE8" w:sz="4"/>
        </w:tblBorders>
      </w:tblPr>
      <w:tblGrid>
        <w:gridCol w:w="1600"/>
        <w:gridCol w:w="6400"/>
        <w:gridCol w:w="700"/>
        <w:gridCol w:w="700"/>
      </w:tblGrid>
      <w:tr>
        <w:tc>
          <w:tcPr>
            <w:tcW w:type="dxa" w:w="1600"/>
            <w:shd w:fill="0E2647" w:val="clear"/>
            <w:tcMar>
              <w:top w:type="dxa" w:w="60"/>
              <w:left w:type="dxa" w:w="80"/>
              <w:bottom w:type="dxa" w:w="60"/>
              <w:right w:type="dxa" w:w="70"/>
            </w:tcMar>
          </w:tcPr>
          <w:p>
            <w:r>
              <w:rPr>
                <w:b/>
                <w:bCs/>
                <w:color w:val="FFFFFF"/>
                <w:sz w:val="12"/>
                <w:szCs w:val="12"/>
              </w:rPr>
              <w:t xml:space="preserve">Code</w:t>
            </w:r>
          </w:p>
        </w:tc>
        <w:tc>
          <w:tcPr>
            <w:tcW w:type="dxa" w:w="6400"/>
            <w:shd w:fill="0E2647" w:val="clear"/>
            <w:tcMar>
              <w:top w:type="dxa" w:w="60"/>
              <w:left w:type="dxa" w:w="80"/>
              <w:bottom w:type="dxa" w:w="60"/>
              <w:right w:type="dxa" w:w="70"/>
            </w:tcMar>
          </w:tcPr>
          <w:p>
            <w:r>
              <w:rPr>
                <w:b/>
                <w:bCs/>
                <w:color w:val="FFFFFF"/>
                <w:sz w:val="12"/>
                <w:szCs w:val="12"/>
              </w:rPr>
              <w:t xml:space="preserve">Title</w:t>
            </w:r>
          </w:p>
        </w:tc>
        <w:tc>
          <w:tcPr>
            <w:tcW w:type="dxa" w:w="700"/>
            <w:shd w:fill="0E2647" w:val="clear"/>
            <w:tcMar>
              <w:top w:type="dxa" w:w="60"/>
              <w:left w:type="dxa" w:w="80"/>
              <w:bottom w:type="dxa" w:w="60"/>
              <w:right w:type="dxa" w:w="70"/>
            </w:tcMar>
          </w:tcPr>
          <w:p>
            <w:r>
              <w:rPr>
                <w:b/>
                <w:bCs/>
                <w:color w:val="FFFFFF"/>
                <w:sz w:val="12"/>
                <w:szCs w:val="12"/>
              </w:rPr>
              <w:t xml:space="preserve">EN</w:t>
            </w:r>
          </w:p>
        </w:tc>
        <w:tc>
          <w:tcPr>
            <w:tcW w:type="dxa" w:w="700"/>
            <w:shd w:fill="0E2647" w:val="clear"/>
            <w:tcMar>
              <w:top w:type="dxa" w:w="60"/>
              <w:left w:type="dxa" w:w="80"/>
              <w:bottom w:type="dxa" w:w="60"/>
              <w:right w:type="dxa" w:w="70"/>
            </w:tcMar>
          </w:tcPr>
          <w:p>
            <w:r>
              <w:rPr>
                <w:b/>
                <w:bCs/>
                <w:color w:val="FFFFFF"/>
                <w:sz w:val="12"/>
                <w:szCs w:val="12"/>
              </w:rPr>
              <w:t xml:space="preserve">KA</w:t>
            </w:r>
          </w:p>
        </w:tc>
      </w:tr>
      <w:tr>
        <w:tc>
          <w:tcPr>
            <w:tcW w:type="dxa" w:w="1600"/>
            <w:tcMar>
              <w:top w:type="dxa" w:w="50"/>
              <w:left w:type="dxa" w:w="80"/>
              <w:bottom w:type="dxa" w:w="50"/>
              <w:right w:type="dxa" w:w="70"/>
            </w:tcMar>
            <w:vAlign w:val="center"/>
          </w:tcPr>
          <w:p>
            <w:r>
              <w:rPr>
                <w:b/>
                <w:bCs/>
                <w:sz w:val="13"/>
                <w:szCs w:val="13"/>
              </w:rPr>
              <w:t xml:space="preserve">H-IPC-01</w:t>
            </w:r>
          </w:p>
        </w:tc>
        <w:tc>
          <w:tcPr>
            <w:tcW w:type="dxa" w:w="6400"/>
            <w:tcMar>
              <w:top w:type="dxa" w:w="50"/>
              <w:left w:type="dxa" w:w="80"/>
              <w:bottom w:type="dxa" w:w="50"/>
              <w:right w:type="dxa" w:w="70"/>
            </w:tcMar>
            <w:vAlign w:val="center"/>
          </w:tcPr>
          <w:p>
            <w:r>
              <w:rPr>
                <w:b w:val="false"/>
                <w:bCs w:val="false"/>
                <w:sz w:val="13"/>
                <w:szCs w:val="13"/>
              </w:rPr>
              <w:t xml:space="preserve">Standard Precautions</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H-IPC-02</w:t>
            </w:r>
          </w:p>
        </w:tc>
        <w:tc>
          <w:tcPr>
            <w:tcW w:type="dxa" w:w="6400"/>
            <w:tcMar>
              <w:top w:type="dxa" w:w="50"/>
              <w:left w:type="dxa" w:w="80"/>
              <w:bottom w:type="dxa" w:w="50"/>
              <w:right w:type="dxa" w:w="70"/>
            </w:tcMar>
            <w:vAlign w:val="center"/>
          </w:tcPr>
          <w:p>
            <w:r>
              <w:rPr>
                <w:b w:val="false"/>
                <w:bCs w:val="false"/>
                <w:sz w:val="13"/>
                <w:szCs w:val="13"/>
              </w:rPr>
              <w:t xml:space="preserve">Hand Hygiene</w:t>
            </w:r>
          </w:p>
        </w:tc>
        <w:tc>
          <w:tcPr>
            <w:tcW w:type="dxa" w:w="700"/>
            <w:tcMar>
              <w:top w:type="dxa" w:w="50"/>
              <w:left w:type="dxa" w:w="80"/>
              <w:bottom w:type="dxa" w:w="50"/>
              <w:right w:type="dxa" w:w="70"/>
            </w:tcMar>
            <w:vAlign w:val="center"/>
          </w:tcPr>
          <w:p>
            <w:r>
              <w:rPr>
                <w:b w:val="false"/>
                <w:bCs w:val="false"/>
                <w:sz w:val="13"/>
                <w:szCs w:val="13"/>
              </w:rPr>
              <w:t xml:space="preserve">—**</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H-IPC-03</w:t>
            </w:r>
          </w:p>
        </w:tc>
        <w:tc>
          <w:tcPr>
            <w:tcW w:type="dxa" w:w="6400"/>
            <w:tcMar>
              <w:top w:type="dxa" w:w="50"/>
              <w:left w:type="dxa" w:w="80"/>
              <w:bottom w:type="dxa" w:w="50"/>
              <w:right w:type="dxa" w:w="70"/>
            </w:tcMar>
            <w:vAlign w:val="center"/>
          </w:tcPr>
          <w:p>
            <w:r>
              <w:rPr>
                <w:b w:val="false"/>
                <w:bCs w:val="false"/>
                <w:sz w:val="13"/>
                <w:szCs w:val="13"/>
              </w:rPr>
              <w:t xml:space="preserve">Personal Protective Equipment</w:t>
            </w:r>
          </w:p>
        </w:tc>
        <w:tc>
          <w:tcPr>
            <w:tcW w:type="dxa" w:w="700"/>
            <w:tcMar>
              <w:top w:type="dxa" w:w="50"/>
              <w:left w:type="dxa" w:w="80"/>
              <w:bottom w:type="dxa" w:w="50"/>
              <w:right w:type="dxa" w:w="70"/>
            </w:tcMar>
            <w:vAlign w:val="center"/>
          </w:tcPr>
          <w:p>
            <w:r>
              <w:rPr>
                <w:b w:val="false"/>
                <w:bCs w:val="false"/>
                <w:sz w:val="13"/>
                <w:szCs w:val="13"/>
              </w:rPr>
              <w:t xml:space="preserve">—</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H-IPC-04</w:t>
            </w:r>
          </w:p>
        </w:tc>
        <w:tc>
          <w:tcPr>
            <w:tcW w:type="dxa" w:w="6400"/>
            <w:tcMar>
              <w:top w:type="dxa" w:w="50"/>
              <w:left w:type="dxa" w:w="80"/>
              <w:bottom w:type="dxa" w:w="50"/>
              <w:right w:type="dxa" w:w="70"/>
            </w:tcMar>
            <w:vAlign w:val="center"/>
          </w:tcPr>
          <w:p>
            <w:r>
              <w:rPr>
                <w:b w:val="false"/>
                <w:bCs w:val="false"/>
                <w:sz w:val="13"/>
                <w:szCs w:val="13"/>
              </w:rPr>
              <w:t xml:space="preserve">Contact Precautions</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H-IPC-05</w:t>
            </w:r>
          </w:p>
        </w:tc>
        <w:tc>
          <w:tcPr>
            <w:tcW w:type="dxa" w:w="6400"/>
            <w:tcMar>
              <w:top w:type="dxa" w:w="50"/>
              <w:left w:type="dxa" w:w="80"/>
              <w:bottom w:type="dxa" w:w="50"/>
              <w:right w:type="dxa" w:w="70"/>
            </w:tcMar>
            <w:vAlign w:val="center"/>
          </w:tcPr>
          <w:p>
            <w:r>
              <w:rPr>
                <w:b w:val="false"/>
                <w:bCs w:val="false"/>
                <w:sz w:val="13"/>
                <w:szCs w:val="13"/>
              </w:rPr>
              <w:t xml:space="preserve">Droplet Precautions</w:t>
            </w:r>
          </w:p>
        </w:tc>
        <w:tc>
          <w:tcPr>
            <w:tcW w:type="dxa" w:w="700"/>
            <w:tcMar>
              <w:top w:type="dxa" w:w="50"/>
              <w:left w:type="dxa" w:w="80"/>
              <w:bottom w:type="dxa" w:w="50"/>
              <w:right w:type="dxa" w:w="70"/>
            </w:tcMar>
            <w:vAlign w:val="center"/>
          </w:tcPr>
          <w:p>
            <w:r>
              <w:rPr>
                <w:b w:val="false"/>
                <w:bCs w:val="false"/>
                <w:sz w:val="13"/>
                <w:szCs w:val="13"/>
              </w:rPr>
              <w:t xml:space="preserve">—†</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H-IPC-06</w:t>
            </w:r>
          </w:p>
        </w:tc>
        <w:tc>
          <w:tcPr>
            <w:tcW w:type="dxa" w:w="6400"/>
            <w:tcMar>
              <w:top w:type="dxa" w:w="50"/>
              <w:left w:type="dxa" w:w="80"/>
              <w:bottom w:type="dxa" w:w="50"/>
              <w:right w:type="dxa" w:w="70"/>
            </w:tcMar>
            <w:vAlign w:val="center"/>
          </w:tcPr>
          <w:p>
            <w:r>
              <w:rPr>
                <w:b w:val="false"/>
                <w:bCs w:val="false"/>
                <w:sz w:val="13"/>
                <w:szCs w:val="13"/>
              </w:rPr>
              <w:t xml:space="preserve">Airborne Precautions</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H-IPC-07</w:t>
            </w:r>
          </w:p>
        </w:tc>
        <w:tc>
          <w:tcPr>
            <w:tcW w:type="dxa" w:w="6400"/>
            <w:tcMar>
              <w:top w:type="dxa" w:w="50"/>
              <w:left w:type="dxa" w:w="80"/>
              <w:bottom w:type="dxa" w:w="50"/>
              <w:right w:type="dxa" w:w="70"/>
            </w:tcMar>
            <w:vAlign w:val="center"/>
          </w:tcPr>
          <w:p>
            <w:r>
              <w:rPr>
                <w:b w:val="false"/>
                <w:bCs w:val="false"/>
                <w:sz w:val="13"/>
                <w:szCs w:val="13"/>
              </w:rPr>
              <w:t xml:space="preserve">Safe Injection Practices</w:t>
            </w:r>
          </w:p>
        </w:tc>
        <w:tc>
          <w:tcPr>
            <w:tcW w:type="dxa" w:w="700"/>
            <w:tcMar>
              <w:top w:type="dxa" w:w="50"/>
              <w:left w:type="dxa" w:w="80"/>
              <w:bottom w:type="dxa" w:w="50"/>
              <w:right w:type="dxa" w:w="70"/>
            </w:tcMar>
            <w:vAlign w:val="center"/>
          </w:tcPr>
          <w:p>
            <w:r>
              <w:rPr>
                <w:b w:val="false"/>
                <w:bCs w:val="false"/>
                <w:sz w:val="13"/>
                <w:szCs w:val="13"/>
              </w:rPr>
              <w:t xml:space="preserve">—</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H-IPC-08</w:t>
            </w:r>
          </w:p>
        </w:tc>
        <w:tc>
          <w:tcPr>
            <w:tcW w:type="dxa" w:w="6400"/>
            <w:tcMar>
              <w:top w:type="dxa" w:w="50"/>
              <w:left w:type="dxa" w:w="80"/>
              <w:bottom w:type="dxa" w:w="50"/>
              <w:right w:type="dxa" w:w="70"/>
            </w:tcMar>
            <w:vAlign w:val="center"/>
          </w:tcPr>
          <w:p>
            <w:r>
              <w:rPr>
                <w:b w:val="false"/>
                <w:bCs w:val="false"/>
                <w:sz w:val="13"/>
                <w:szCs w:val="13"/>
              </w:rPr>
              <w:t xml:space="preserve">Sharps Safety</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H-IPC-09</w:t>
            </w:r>
          </w:p>
        </w:tc>
        <w:tc>
          <w:tcPr>
            <w:tcW w:type="dxa" w:w="6400"/>
            <w:tcMar>
              <w:top w:type="dxa" w:w="50"/>
              <w:left w:type="dxa" w:w="80"/>
              <w:bottom w:type="dxa" w:w="50"/>
              <w:right w:type="dxa" w:w="70"/>
            </w:tcMar>
            <w:vAlign w:val="center"/>
          </w:tcPr>
          <w:p>
            <w:r>
              <w:rPr>
                <w:b w:val="false"/>
                <w:bCs w:val="false"/>
                <w:sz w:val="13"/>
                <w:szCs w:val="13"/>
              </w:rPr>
              <w:t xml:space="preserve">Post-Exposure Prophylaxis</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H-STR-01</w:t>
            </w:r>
          </w:p>
        </w:tc>
        <w:tc>
          <w:tcPr>
            <w:tcW w:type="dxa" w:w="6400"/>
            <w:tcMar>
              <w:top w:type="dxa" w:w="50"/>
              <w:left w:type="dxa" w:w="80"/>
              <w:bottom w:type="dxa" w:w="50"/>
              <w:right w:type="dxa" w:w="70"/>
            </w:tcMar>
            <w:vAlign w:val="center"/>
          </w:tcPr>
          <w:p>
            <w:r>
              <w:rPr>
                <w:b w:val="false"/>
                <w:bCs w:val="false"/>
                <w:sz w:val="13"/>
                <w:szCs w:val="13"/>
              </w:rPr>
              <w:t xml:space="preserve">Instrument Reprocessing &amp; Sterilization</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H-PS-01</w:t>
            </w:r>
          </w:p>
        </w:tc>
        <w:tc>
          <w:tcPr>
            <w:tcW w:type="dxa" w:w="6400"/>
            <w:tcMar>
              <w:top w:type="dxa" w:w="50"/>
              <w:left w:type="dxa" w:w="80"/>
              <w:bottom w:type="dxa" w:w="50"/>
              <w:right w:type="dxa" w:w="70"/>
            </w:tcMar>
            <w:vAlign w:val="center"/>
          </w:tcPr>
          <w:p>
            <w:r>
              <w:rPr>
                <w:b w:val="false"/>
                <w:bCs w:val="false"/>
                <w:sz w:val="13"/>
                <w:szCs w:val="13"/>
              </w:rPr>
              <w:t xml:space="preserve">Patient Identification</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H-PS-02</w:t>
            </w:r>
          </w:p>
        </w:tc>
        <w:tc>
          <w:tcPr>
            <w:tcW w:type="dxa" w:w="6400"/>
            <w:tcMar>
              <w:top w:type="dxa" w:w="50"/>
              <w:left w:type="dxa" w:w="80"/>
              <w:bottom w:type="dxa" w:w="50"/>
              <w:right w:type="dxa" w:w="70"/>
            </w:tcMar>
            <w:vAlign w:val="center"/>
          </w:tcPr>
          <w:p>
            <w:r>
              <w:rPr>
                <w:b w:val="false"/>
                <w:bCs w:val="false"/>
                <w:sz w:val="13"/>
                <w:szCs w:val="13"/>
              </w:rPr>
              <w:t xml:space="preserve">Clinical Incident &amp; Adverse Event Reporting</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H-MED-01</w:t>
            </w:r>
          </w:p>
        </w:tc>
        <w:tc>
          <w:tcPr>
            <w:tcW w:type="dxa" w:w="6400"/>
            <w:tcMar>
              <w:top w:type="dxa" w:w="50"/>
              <w:left w:type="dxa" w:w="80"/>
              <w:bottom w:type="dxa" w:w="50"/>
              <w:right w:type="dxa" w:w="70"/>
            </w:tcMar>
            <w:vAlign w:val="center"/>
          </w:tcPr>
          <w:p>
            <w:r>
              <w:rPr>
                <w:b w:val="false"/>
                <w:bCs w:val="false"/>
                <w:sz w:val="13"/>
                <w:szCs w:val="13"/>
              </w:rPr>
              <w:t xml:space="preserve">Medication Management</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H-MED-02</w:t>
            </w:r>
          </w:p>
        </w:tc>
        <w:tc>
          <w:tcPr>
            <w:tcW w:type="dxa" w:w="6400"/>
            <w:tcMar>
              <w:top w:type="dxa" w:w="50"/>
              <w:left w:type="dxa" w:w="80"/>
              <w:bottom w:type="dxa" w:w="50"/>
              <w:right w:type="dxa" w:w="70"/>
            </w:tcMar>
            <w:vAlign w:val="center"/>
          </w:tcPr>
          <w:p>
            <w:r>
              <w:rPr>
                <w:b w:val="false"/>
                <w:bCs w:val="false"/>
                <w:sz w:val="13"/>
                <w:szCs w:val="13"/>
              </w:rPr>
              <w:t xml:space="preserve">Controlled Substances Security &amp; Diversion Prevention</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H-CONSENT-01</w:t>
            </w:r>
          </w:p>
        </w:tc>
        <w:tc>
          <w:tcPr>
            <w:tcW w:type="dxa" w:w="6400"/>
            <w:tcMar>
              <w:top w:type="dxa" w:w="50"/>
              <w:left w:type="dxa" w:w="80"/>
              <w:bottom w:type="dxa" w:w="50"/>
              <w:right w:type="dxa" w:w="70"/>
            </w:tcMar>
            <w:vAlign w:val="center"/>
          </w:tcPr>
          <w:p>
            <w:r>
              <w:rPr>
                <w:b w:val="false"/>
                <w:bCs w:val="false"/>
                <w:sz w:val="13"/>
                <w:szCs w:val="13"/>
              </w:rPr>
              <w:t xml:space="preserve">General Informed Consent</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H-HIM-01</w:t>
            </w:r>
          </w:p>
        </w:tc>
        <w:tc>
          <w:tcPr>
            <w:tcW w:type="dxa" w:w="6400"/>
            <w:tcMar>
              <w:top w:type="dxa" w:w="50"/>
              <w:left w:type="dxa" w:w="80"/>
              <w:bottom w:type="dxa" w:w="50"/>
              <w:right w:type="dxa" w:w="70"/>
            </w:tcMar>
            <w:vAlign w:val="center"/>
          </w:tcPr>
          <w:p>
            <w:r>
              <w:rPr>
                <w:b w:val="false"/>
                <w:bCs w:val="false"/>
                <w:sz w:val="13"/>
                <w:szCs w:val="13"/>
              </w:rPr>
              <w:t xml:space="preserve">Patient Records Confidentiality</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H-HR-01</w:t>
            </w:r>
          </w:p>
        </w:tc>
        <w:tc>
          <w:tcPr>
            <w:tcW w:type="dxa" w:w="6400"/>
            <w:tcMar>
              <w:top w:type="dxa" w:w="50"/>
              <w:left w:type="dxa" w:w="80"/>
              <w:bottom w:type="dxa" w:w="50"/>
              <w:right w:type="dxa" w:w="70"/>
            </w:tcMar>
            <w:vAlign w:val="center"/>
          </w:tcPr>
          <w:p>
            <w:r>
              <w:rPr>
                <w:b w:val="false"/>
                <w:bCs w:val="false"/>
                <w:sz w:val="13"/>
                <w:szCs w:val="13"/>
              </w:rPr>
              <w:t xml:space="preserve">Physician &amp; Clinical Staff Credentialing</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H-HR-03</w:t>
            </w:r>
          </w:p>
        </w:tc>
        <w:tc>
          <w:tcPr>
            <w:tcW w:type="dxa" w:w="6400"/>
            <w:tcMar>
              <w:top w:type="dxa" w:w="50"/>
              <w:left w:type="dxa" w:w="80"/>
              <w:bottom w:type="dxa" w:w="50"/>
              <w:right w:type="dxa" w:w="70"/>
            </w:tcMar>
            <w:vAlign w:val="center"/>
          </w:tcPr>
          <w:p>
            <w:r>
              <w:rPr>
                <w:b w:val="false"/>
                <w:bCs w:val="false"/>
                <w:sz w:val="13"/>
                <w:szCs w:val="13"/>
              </w:rPr>
              <w:t xml:space="preserve">Volunteer, Student &amp; Trainee Supervision</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H-NUR-01</w:t>
            </w:r>
          </w:p>
        </w:tc>
        <w:tc>
          <w:tcPr>
            <w:tcW w:type="dxa" w:w="6400"/>
            <w:tcMar>
              <w:top w:type="dxa" w:w="50"/>
              <w:left w:type="dxa" w:w="80"/>
              <w:bottom w:type="dxa" w:w="50"/>
              <w:right w:type="dxa" w:w="70"/>
            </w:tcMar>
            <w:vAlign w:val="center"/>
          </w:tcPr>
          <w:p>
            <w:r>
              <w:rPr>
                <w:b w:val="false"/>
                <w:bCs w:val="false"/>
                <w:sz w:val="13"/>
                <w:szCs w:val="13"/>
              </w:rPr>
              <w:t xml:space="preserve">Nursing Services and Shift Handoff (SBAR)</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bl>
    <w:p>
      <w:pPr>
        <w:pBdr>
          <w:left w:val="single" w:color="C9A227" w:sz="16" w:space="10"/>
        </w:pBdr>
        <w:shd w:fill="FFF8E7" w:val="clear"/>
        <w:spacing w:after="150" w:before="100"/>
      </w:pPr>
      <w:r>
        <w:rPr>
          <w:i/>
          <w:iCs/>
          <w:color w:val="5C4A0A"/>
          <w:sz w:val="16"/>
          <w:szCs w:val="16"/>
        </w:rPr>
        <w:t xml:space="preserve">*H-GOV-08/09/10 share one Annual Disclosure &amp; Attestation Form. **H-IPC-02's hand hygiene audit form is filed under H-IPC-01 (Standard Precautions), corrected in this edition — see Section 11. †H-IPC-05 shares H-IPC-04's isolation sign and log forms.</w:t>
      </w:r>
    </w:p>
    <w:p>
      <w:pPr>
        <w:pStyle w:val="Heading1"/>
        <w:pageBreakBefore/>
        <w:spacing w:after="110" w:before="220"/>
      </w:pPr>
      <w:r>
        <w:rPr>
          <w:b/>
          <w:bCs/>
          <w:color w:val="0E2647"/>
          <w:sz w:val="24"/>
          <w:szCs w:val="24"/>
        </w:rPr>
        <w:t xml:space="preserve">6. Tier 4 — Laboratory &amp; Diagnostics</w:t>
      </w:r>
    </w:p>
    <w:tbl>
      <w:tblPr>
        <w:tblW w:type="dxa" w:w="9400"/>
        <w:tblBorders>
          <w:top w:val="single" w:color="D8DEE8" w:sz="4"/>
          <w:left w:val="single" w:color="D8DEE8" w:sz="4"/>
          <w:bottom w:val="single" w:color="D8DEE8" w:sz="4"/>
          <w:right w:val="single" w:color="D8DEE8" w:sz="4"/>
          <w:insideH w:val="single" w:color="D8DEE8" w:sz="4"/>
          <w:insideV w:val="single" w:color="D8DEE8" w:sz="4"/>
        </w:tblBorders>
      </w:tblPr>
      <w:tblGrid>
        <w:gridCol w:w="1600"/>
        <w:gridCol w:w="6400"/>
        <w:gridCol w:w="700"/>
        <w:gridCol w:w="700"/>
      </w:tblGrid>
      <w:tr>
        <w:tc>
          <w:tcPr>
            <w:tcW w:type="dxa" w:w="1600"/>
            <w:shd w:fill="0E2647" w:val="clear"/>
            <w:tcMar>
              <w:top w:type="dxa" w:w="60"/>
              <w:left w:type="dxa" w:w="80"/>
              <w:bottom w:type="dxa" w:w="60"/>
              <w:right w:type="dxa" w:w="70"/>
            </w:tcMar>
          </w:tcPr>
          <w:p>
            <w:r>
              <w:rPr>
                <w:b/>
                <w:bCs/>
                <w:color w:val="FFFFFF"/>
                <w:sz w:val="12"/>
                <w:szCs w:val="12"/>
              </w:rPr>
              <w:t xml:space="preserve">Code</w:t>
            </w:r>
          </w:p>
        </w:tc>
        <w:tc>
          <w:tcPr>
            <w:tcW w:type="dxa" w:w="6400"/>
            <w:shd w:fill="0E2647" w:val="clear"/>
            <w:tcMar>
              <w:top w:type="dxa" w:w="60"/>
              <w:left w:type="dxa" w:w="80"/>
              <w:bottom w:type="dxa" w:w="60"/>
              <w:right w:type="dxa" w:w="70"/>
            </w:tcMar>
          </w:tcPr>
          <w:p>
            <w:r>
              <w:rPr>
                <w:b/>
                <w:bCs/>
                <w:color w:val="FFFFFF"/>
                <w:sz w:val="12"/>
                <w:szCs w:val="12"/>
              </w:rPr>
              <w:t xml:space="preserve">Title</w:t>
            </w:r>
          </w:p>
        </w:tc>
        <w:tc>
          <w:tcPr>
            <w:tcW w:type="dxa" w:w="700"/>
            <w:shd w:fill="0E2647" w:val="clear"/>
            <w:tcMar>
              <w:top w:type="dxa" w:w="60"/>
              <w:left w:type="dxa" w:w="80"/>
              <w:bottom w:type="dxa" w:w="60"/>
              <w:right w:type="dxa" w:w="70"/>
            </w:tcMar>
          </w:tcPr>
          <w:p>
            <w:r>
              <w:rPr>
                <w:b/>
                <w:bCs/>
                <w:color w:val="FFFFFF"/>
                <w:sz w:val="12"/>
                <w:szCs w:val="12"/>
              </w:rPr>
              <w:t xml:space="preserve">EN</w:t>
            </w:r>
          </w:p>
        </w:tc>
        <w:tc>
          <w:tcPr>
            <w:tcW w:type="dxa" w:w="700"/>
            <w:shd w:fill="0E2647" w:val="clear"/>
            <w:tcMar>
              <w:top w:type="dxa" w:w="60"/>
              <w:left w:type="dxa" w:w="80"/>
              <w:bottom w:type="dxa" w:w="60"/>
              <w:right w:type="dxa" w:w="70"/>
            </w:tcMar>
          </w:tcPr>
          <w:p>
            <w:r>
              <w:rPr>
                <w:b/>
                <w:bCs/>
                <w:color w:val="FFFFFF"/>
                <w:sz w:val="12"/>
                <w:szCs w:val="12"/>
              </w:rPr>
              <w:t xml:space="preserve">KA</w:t>
            </w:r>
          </w:p>
        </w:tc>
      </w:tr>
      <w:tr>
        <w:tc>
          <w:tcPr>
            <w:tcW w:type="dxa" w:w="1600"/>
            <w:tcMar>
              <w:top w:type="dxa" w:w="50"/>
              <w:left w:type="dxa" w:w="80"/>
              <w:bottom w:type="dxa" w:w="50"/>
              <w:right w:type="dxa" w:w="70"/>
            </w:tcMar>
            <w:vAlign w:val="center"/>
          </w:tcPr>
          <w:p>
            <w:r>
              <w:rPr>
                <w:b/>
                <w:bCs/>
                <w:sz w:val="13"/>
                <w:szCs w:val="13"/>
              </w:rPr>
              <w:t xml:space="preserve">H-LAB-01–17</w:t>
            </w:r>
          </w:p>
        </w:tc>
        <w:tc>
          <w:tcPr>
            <w:tcW w:type="dxa" w:w="6400"/>
            <w:tcMar>
              <w:top w:type="dxa" w:w="50"/>
              <w:left w:type="dxa" w:w="80"/>
              <w:bottom w:type="dxa" w:w="50"/>
              <w:right w:type="dxa" w:w="70"/>
            </w:tcMar>
            <w:vAlign w:val="center"/>
          </w:tcPr>
          <w:p>
            <w:r>
              <w:rPr>
                <w:b w:val="false"/>
                <w:bCs w:val="false"/>
                <w:sz w:val="13"/>
                <w:szCs w:val="13"/>
              </w:rPr>
              <w:t xml:space="preserve">Full laboratory set: specimen collection through critical value notification</w:t>
            </w:r>
          </w:p>
        </w:tc>
        <w:tc>
          <w:tcPr>
            <w:tcW w:type="dxa" w:w="700"/>
            <w:tcMar>
              <w:top w:type="dxa" w:w="50"/>
              <w:left w:type="dxa" w:w="80"/>
              <w:bottom w:type="dxa" w:w="50"/>
              <w:right w:type="dxa" w:w="70"/>
            </w:tcMar>
            <w:vAlign w:val="center"/>
          </w:tcPr>
          <w:p>
            <w:r>
              <w:rPr>
                <w:b w:val="false"/>
                <w:bCs w:val="false"/>
                <w:sz w:val="13"/>
                <w:szCs w:val="13"/>
              </w:rPr>
              <w:t xml:space="preserve">20</w:t>
            </w:r>
          </w:p>
        </w:tc>
        <w:tc>
          <w:tcPr>
            <w:tcW w:type="dxa" w:w="700"/>
            <w:tcMar>
              <w:top w:type="dxa" w:w="50"/>
              <w:left w:type="dxa" w:w="80"/>
              <w:bottom w:type="dxa" w:w="50"/>
              <w:right w:type="dxa" w:w="70"/>
            </w:tcMar>
            <w:vAlign w:val="center"/>
          </w:tcPr>
          <w:p>
            <w:r>
              <w:rPr>
                <w:b w:val="false"/>
                <w:bCs w:val="false"/>
                <w:sz w:val="13"/>
                <w:szCs w:val="13"/>
              </w:rPr>
              <w:t xml:space="preserve">✓</w:t>
            </w:r>
          </w:p>
        </w:tc>
      </w:tr>
    </w:tbl>
    <w:p>
      <w:pPr>
        <w:pStyle w:val="Heading1"/>
        <w:pageBreakBefore/>
        <w:spacing w:after="110" w:before="220"/>
      </w:pPr>
      <w:r>
        <w:rPr>
          <w:b/>
          <w:bCs/>
          <w:color w:val="0E2647"/>
          <w:sz w:val="24"/>
          <w:szCs w:val="24"/>
        </w:rPr>
        <w:t xml:space="preserve">7. Tier 5 — Oncology</w:t>
      </w:r>
    </w:p>
    <w:tbl>
      <w:tblPr>
        <w:tblW w:type="dxa" w:w="9400"/>
        <w:tblBorders>
          <w:top w:val="single" w:color="D8DEE8" w:sz="4"/>
          <w:left w:val="single" w:color="D8DEE8" w:sz="4"/>
          <w:bottom w:val="single" w:color="D8DEE8" w:sz="4"/>
          <w:right w:val="single" w:color="D8DEE8" w:sz="4"/>
          <w:insideH w:val="single" w:color="D8DEE8" w:sz="4"/>
          <w:insideV w:val="single" w:color="D8DEE8" w:sz="4"/>
        </w:tblBorders>
      </w:tblPr>
      <w:tblGrid>
        <w:gridCol w:w="1600"/>
        <w:gridCol w:w="6400"/>
        <w:gridCol w:w="700"/>
        <w:gridCol w:w="700"/>
      </w:tblGrid>
      <w:tr>
        <w:tc>
          <w:tcPr>
            <w:tcW w:type="dxa" w:w="1600"/>
            <w:shd w:fill="0E2647" w:val="clear"/>
            <w:tcMar>
              <w:top w:type="dxa" w:w="60"/>
              <w:left w:type="dxa" w:w="80"/>
              <w:bottom w:type="dxa" w:w="60"/>
              <w:right w:type="dxa" w:w="70"/>
            </w:tcMar>
          </w:tcPr>
          <w:p>
            <w:r>
              <w:rPr>
                <w:b/>
                <w:bCs/>
                <w:color w:val="FFFFFF"/>
                <w:sz w:val="12"/>
                <w:szCs w:val="12"/>
              </w:rPr>
              <w:t xml:space="preserve">Code</w:t>
            </w:r>
          </w:p>
        </w:tc>
        <w:tc>
          <w:tcPr>
            <w:tcW w:type="dxa" w:w="6400"/>
            <w:shd w:fill="0E2647" w:val="clear"/>
            <w:tcMar>
              <w:top w:type="dxa" w:w="60"/>
              <w:left w:type="dxa" w:w="80"/>
              <w:bottom w:type="dxa" w:w="60"/>
              <w:right w:type="dxa" w:w="70"/>
            </w:tcMar>
          </w:tcPr>
          <w:p>
            <w:r>
              <w:rPr>
                <w:b/>
                <w:bCs/>
                <w:color w:val="FFFFFF"/>
                <w:sz w:val="12"/>
                <w:szCs w:val="12"/>
              </w:rPr>
              <w:t xml:space="preserve">Title</w:t>
            </w:r>
          </w:p>
        </w:tc>
        <w:tc>
          <w:tcPr>
            <w:tcW w:type="dxa" w:w="700"/>
            <w:shd w:fill="0E2647" w:val="clear"/>
            <w:tcMar>
              <w:top w:type="dxa" w:w="60"/>
              <w:left w:type="dxa" w:w="80"/>
              <w:bottom w:type="dxa" w:w="60"/>
              <w:right w:type="dxa" w:w="70"/>
            </w:tcMar>
          </w:tcPr>
          <w:p>
            <w:r>
              <w:rPr>
                <w:b/>
                <w:bCs/>
                <w:color w:val="FFFFFF"/>
                <w:sz w:val="12"/>
                <w:szCs w:val="12"/>
              </w:rPr>
              <w:t xml:space="preserve">EN</w:t>
            </w:r>
          </w:p>
        </w:tc>
        <w:tc>
          <w:tcPr>
            <w:tcW w:type="dxa" w:w="700"/>
            <w:shd w:fill="0E2647" w:val="clear"/>
            <w:tcMar>
              <w:top w:type="dxa" w:w="60"/>
              <w:left w:type="dxa" w:w="80"/>
              <w:bottom w:type="dxa" w:w="60"/>
              <w:right w:type="dxa" w:w="70"/>
            </w:tcMar>
          </w:tcPr>
          <w:p>
            <w:r>
              <w:rPr>
                <w:b/>
                <w:bCs/>
                <w:color w:val="FFFFFF"/>
                <w:sz w:val="12"/>
                <w:szCs w:val="12"/>
              </w:rPr>
              <w:t xml:space="preserve">KA</w:t>
            </w:r>
          </w:p>
        </w:tc>
      </w:tr>
      <w:tr>
        <w:tc>
          <w:tcPr>
            <w:tcW w:type="dxa" w:w="1600"/>
            <w:tcMar>
              <w:top w:type="dxa" w:w="50"/>
              <w:left w:type="dxa" w:w="80"/>
              <w:bottom w:type="dxa" w:w="50"/>
              <w:right w:type="dxa" w:w="70"/>
            </w:tcMar>
            <w:vAlign w:val="center"/>
          </w:tcPr>
          <w:p>
            <w:r>
              <w:rPr>
                <w:b/>
                <w:bCs/>
                <w:sz w:val="13"/>
                <w:szCs w:val="13"/>
              </w:rPr>
              <w:t xml:space="preserve">H-ONC-01–07</w:t>
            </w:r>
          </w:p>
        </w:tc>
        <w:tc>
          <w:tcPr>
            <w:tcW w:type="dxa" w:w="6400"/>
            <w:tcMar>
              <w:top w:type="dxa" w:w="50"/>
              <w:left w:type="dxa" w:w="80"/>
              <w:bottom w:type="dxa" w:w="50"/>
              <w:right w:type="dxa" w:w="70"/>
            </w:tcMar>
            <w:vAlign w:val="center"/>
          </w:tcPr>
          <w:p>
            <w:r>
              <w:rPr>
                <w:b w:val="false"/>
                <w:bCs w:val="false"/>
                <w:sz w:val="13"/>
                <w:szCs w:val="13"/>
              </w:rPr>
              <w:t xml:space="preserve">Hazardous drug handling through port care</w:t>
            </w:r>
          </w:p>
        </w:tc>
        <w:tc>
          <w:tcPr>
            <w:tcW w:type="dxa" w:w="700"/>
            <w:tcMar>
              <w:top w:type="dxa" w:w="50"/>
              <w:left w:type="dxa" w:w="80"/>
              <w:bottom w:type="dxa" w:w="50"/>
              <w:right w:type="dxa" w:w="70"/>
            </w:tcMar>
            <w:vAlign w:val="center"/>
          </w:tcPr>
          <w:p>
            <w:r>
              <w:rPr>
                <w:b w:val="false"/>
                <w:bCs w:val="false"/>
                <w:sz w:val="13"/>
                <w:szCs w:val="13"/>
              </w:rPr>
              <w:t xml:space="preserve">8</w:t>
            </w:r>
          </w:p>
        </w:tc>
        <w:tc>
          <w:tcPr>
            <w:tcW w:type="dxa" w:w="700"/>
            <w:tcMar>
              <w:top w:type="dxa" w:w="50"/>
              <w:left w:type="dxa" w:w="80"/>
              <w:bottom w:type="dxa" w:w="50"/>
              <w:right w:type="dxa" w:w="70"/>
            </w:tcMar>
            <w:vAlign w:val="center"/>
          </w:tcPr>
          <w:p>
            <w:r>
              <w:rPr>
                <w:b w:val="false"/>
                <w:bCs w:val="false"/>
                <w:sz w:val="13"/>
                <w:szCs w:val="13"/>
              </w:rPr>
              <w:t xml:space="preserve">✓</w:t>
            </w:r>
          </w:p>
        </w:tc>
      </w:tr>
    </w:tbl>
    <w:p>
      <w:pPr>
        <w:pStyle w:val="Heading1"/>
        <w:pageBreakBefore/>
        <w:spacing w:after="110" w:before="220"/>
      </w:pPr>
      <w:r>
        <w:rPr>
          <w:b/>
          <w:bCs/>
          <w:color w:val="0E2647"/>
          <w:sz w:val="24"/>
          <w:szCs w:val="24"/>
        </w:rPr>
        <w:t xml:space="preserve">8. Tier 6 — Pediatric</w:t>
      </w:r>
    </w:p>
    <w:tbl>
      <w:tblPr>
        <w:tblW w:type="dxa" w:w="9400"/>
        <w:tblBorders>
          <w:top w:val="single" w:color="D8DEE8" w:sz="4"/>
          <w:left w:val="single" w:color="D8DEE8" w:sz="4"/>
          <w:bottom w:val="single" w:color="D8DEE8" w:sz="4"/>
          <w:right w:val="single" w:color="D8DEE8" w:sz="4"/>
          <w:insideH w:val="single" w:color="D8DEE8" w:sz="4"/>
          <w:insideV w:val="single" w:color="D8DEE8" w:sz="4"/>
        </w:tblBorders>
      </w:tblPr>
      <w:tblGrid>
        <w:gridCol w:w="1600"/>
        <w:gridCol w:w="6400"/>
        <w:gridCol w:w="700"/>
        <w:gridCol w:w="700"/>
      </w:tblGrid>
      <w:tr>
        <w:tc>
          <w:tcPr>
            <w:tcW w:type="dxa" w:w="1600"/>
            <w:shd w:fill="0E2647" w:val="clear"/>
            <w:tcMar>
              <w:top w:type="dxa" w:w="60"/>
              <w:left w:type="dxa" w:w="80"/>
              <w:bottom w:type="dxa" w:w="60"/>
              <w:right w:type="dxa" w:w="70"/>
            </w:tcMar>
          </w:tcPr>
          <w:p>
            <w:r>
              <w:rPr>
                <w:b/>
                <w:bCs/>
                <w:color w:val="FFFFFF"/>
                <w:sz w:val="12"/>
                <w:szCs w:val="12"/>
              </w:rPr>
              <w:t xml:space="preserve">Code</w:t>
            </w:r>
          </w:p>
        </w:tc>
        <w:tc>
          <w:tcPr>
            <w:tcW w:type="dxa" w:w="6400"/>
            <w:shd w:fill="0E2647" w:val="clear"/>
            <w:tcMar>
              <w:top w:type="dxa" w:w="60"/>
              <w:left w:type="dxa" w:w="80"/>
              <w:bottom w:type="dxa" w:w="60"/>
              <w:right w:type="dxa" w:w="70"/>
            </w:tcMar>
          </w:tcPr>
          <w:p>
            <w:r>
              <w:rPr>
                <w:b/>
                <w:bCs/>
                <w:color w:val="FFFFFF"/>
                <w:sz w:val="12"/>
                <w:szCs w:val="12"/>
              </w:rPr>
              <w:t xml:space="preserve">Title</w:t>
            </w:r>
          </w:p>
        </w:tc>
        <w:tc>
          <w:tcPr>
            <w:tcW w:type="dxa" w:w="700"/>
            <w:shd w:fill="0E2647" w:val="clear"/>
            <w:tcMar>
              <w:top w:type="dxa" w:w="60"/>
              <w:left w:type="dxa" w:w="80"/>
              <w:bottom w:type="dxa" w:w="60"/>
              <w:right w:type="dxa" w:w="70"/>
            </w:tcMar>
          </w:tcPr>
          <w:p>
            <w:r>
              <w:rPr>
                <w:b/>
                <w:bCs/>
                <w:color w:val="FFFFFF"/>
                <w:sz w:val="12"/>
                <w:szCs w:val="12"/>
              </w:rPr>
              <w:t xml:space="preserve">EN</w:t>
            </w:r>
          </w:p>
        </w:tc>
        <w:tc>
          <w:tcPr>
            <w:tcW w:type="dxa" w:w="700"/>
            <w:shd w:fill="0E2647" w:val="clear"/>
            <w:tcMar>
              <w:top w:type="dxa" w:w="60"/>
              <w:left w:type="dxa" w:w="80"/>
              <w:bottom w:type="dxa" w:w="60"/>
              <w:right w:type="dxa" w:w="70"/>
            </w:tcMar>
          </w:tcPr>
          <w:p>
            <w:r>
              <w:rPr>
                <w:b/>
                <w:bCs/>
                <w:color w:val="FFFFFF"/>
                <w:sz w:val="12"/>
                <w:szCs w:val="12"/>
              </w:rPr>
              <w:t xml:space="preserve">KA</w:t>
            </w:r>
          </w:p>
        </w:tc>
      </w:tr>
      <w:tr>
        <w:tc>
          <w:tcPr>
            <w:tcW w:type="dxa" w:w="1600"/>
            <w:tcMar>
              <w:top w:type="dxa" w:w="50"/>
              <w:left w:type="dxa" w:w="80"/>
              <w:bottom w:type="dxa" w:w="50"/>
              <w:right w:type="dxa" w:w="70"/>
            </w:tcMar>
            <w:vAlign w:val="center"/>
          </w:tcPr>
          <w:p>
            <w:r>
              <w:rPr>
                <w:b/>
                <w:bCs/>
                <w:sz w:val="13"/>
                <w:szCs w:val="13"/>
              </w:rPr>
              <w:t xml:space="preserve">H-PED-01–04</w:t>
            </w:r>
          </w:p>
        </w:tc>
        <w:tc>
          <w:tcPr>
            <w:tcW w:type="dxa" w:w="6400"/>
            <w:tcMar>
              <w:top w:type="dxa" w:w="50"/>
              <w:left w:type="dxa" w:w="80"/>
              <w:bottom w:type="dxa" w:w="50"/>
              <w:right w:type="dxa" w:w="70"/>
            </w:tcMar>
            <w:vAlign w:val="center"/>
          </w:tcPr>
          <w:p>
            <w:r>
              <w:rPr>
                <w:b w:val="false"/>
                <w:bCs w:val="false"/>
                <w:sz w:val="13"/>
                <w:szCs w:val="13"/>
              </w:rPr>
              <w:t xml:space="preserve">Consent through vaccine cold chain</w:t>
            </w:r>
          </w:p>
        </w:tc>
        <w:tc>
          <w:tcPr>
            <w:tcW w:type="dxa" w:w="700"/>
            <w:tcMar>
              <w:top w:type="dxa" w:w="50"/>
              <w:left w:type="dxa" w:w="80"/>
              <w:bottom w:type="dxa" w:w="50"/>
              <w:right w:type="dxa" w:w="70"/>
            </w:tcMar>
            <w:vAlign w:val="center"/>
          </w:tcPr>
          <w:p>
            <w:r>
              <w:rPr>
                <w:b w:val="false"/>
                <w:bCs w:val="false"/>
                <w:sz w:val="13"/>
                <w:szCs w:val="13"/>
              </w:rPr>
              <w:t xml:space="preserve">4</w:t>
            </w:r>
          </w:p>
        </w:tc>
        <w:tc>
          <w:tcPr>
            <w:tcW w:type="dxa" w:w="700"/>
            <w:tcMar>
              <w:top w:type="dxa" w:w="50"/>
              <w:left w:type="dxa" w:w="80"/>
              <w:bottom w:type="dxa" w:w="50"/>
              <w:right w:type="dxa" w:w="70"/>
            </w:tcMar>
            <w:vAlign w:val="center"/>
          </w:tcPr>
          <w:p>
            <w:r>
              <w:rPr>
                <w:b w:val="false"/>
                <w:bCs w:val="false"/>
                <w:sz w:val="13"/>
                <w:szCs w:val="13"/>
              </w:rPr>
              <w:t xml:space="preserve">✓</w:t>
            </w:r>
          </w:p>
        </w:tc>
      </w:tr>
    </w:tbl>
    <w:p>
      <w:pPr>
        <w:pStyle w:val="Heading1"/>
        <w:pageBreakBefore/>
        <w:spacing w:after="110" w:before="220"/>
      </w:pPr>
      <w:r>
        <w:rPr>
          <w:b/>
          <w:bCs/>
          <w:color w:val="0E2647"/>
          <w:sz w:val="24"/>
          <w:szCs w:val="24"/>
        </w:rPr>
        <w:t xml:space="preserve">9. Tier 7 — Cross-Cutting &amp; Facility</w:t>
      </w:r>
    </w:p>
    <w:tbl>
      <w:tblPr>
        <w:tblW w:type="dxa" w:w="9400"/>
        <w:tblBorders>
          <w:top w:val="single" w:color="D8DEE8" w:sz="4"/>
          <w:left w:val="single" w:color="D8DEE8" w:sz="4"/>
          <w:bottom w:val="single" w:color="D8DEE8" w:sz="4"/>
          <w:right w:val="single" w:color="D8DEE8" w:sz="4"/>
          <w:insideH w:val="single" w:color="D8DEE8" w:sz="4"/>
          <w:insideV w:val="single" w:color="D8DEE8" w:sz="4"/>
        </w:tblBorders>
      </w:tblPr>
      <w:tblGrid>
        <w:gridCol w:w="1600"/>
        <w:gridCol w:w="6400"/>
        <w:gridCol w:w="700"/>
        <w:gridCol w:w="700"/>
      </w:tblGrid>
      <w:tr>
        <w:tc>
          <w:tcPr>
            <w:tcW w:type="dxa" w:w="1600"/>
            <w:shd w:fill="0E2647" w:val="clear"/>
            <w:tcMar>
              <w:top w:type="dxa" w:w="60"/>
              <w:left w:type="dxa" w:w="80"/>
              <w:bottom w:type="dxa" w:w="60"/>
              <w:right w:type="dxa" w:w="70"/>
            </w:tcMar>
          </w:tcPr>
          <w:p>
            <w:r>
              <w:rPr>
                <w:b/>
                <w:bCs/>
                <w:color w:val="FFFFFF"/>
                <w:sz w:val="12"/>
                <w:szCs w:val="12"/>
              </w:rPr>
              <w:t xml:space="preserve">Code</w:t>
            </w:r>
          </w:p>
        </w:tc>
        <w:tc>
          <w:tcPr>
            <w:tcW w:type="dxa" w:w="6400"/>
            <w:shd w:fill="0E2647" w:val="clear"/>
            <w:tcMar>
              <w:top w:type="dxa" w:w="60"/>
              <w:left w:type="dxa" w:w="80"/>
              <w:bottom w:type="dxa" w:w="60"/>
              <w:right w:type="dxa" w:w="70"/>
            </w:tcMar>
          </w:tcPr>
          <w:p>
            <w:r>
              <w:rPr>
                <w:b/>
                <w:bCs/>
                <w:color w:val="FFFFFF"/>
                <w:sz w:val="12"/>
                <w:szCs w:val="12"/>
              </w:rPr>
              <w:t xml:space="preserve">Title</w:t>
            </w:r>
          </w:p>
        </w:tc>
        <w:tc>
          <w:tcPr>
            <w:tcW w:type="dxa" w:w="700"/>
            <w:shd w:fill="0E2647" w:val="clear"/>
            <w:tcMar>
              <w:top w:type="dxa" w:w="60"/>
              <w:left w:type="dxa" w:w="80"/>
              <w:bottom w:type="dxa" w:w="60"/>
              <w:right w:type="dxa" w:w="70"/>
            </w:tcMar>
          </w:tcPr>
          <w:p>
            <w:r>
              <w:rPr>
                <w:b/>
                <w:bCs/>
                <w:color w:val="FFFFFF"/>
                <w:sz w:val="12"/>
                <w:szCs w:val="12"/>
              </w:rPr>
              <w:t xml:space="preserve">EN</w:t>
            </w:r>
          </w:p>
        </w:tc>
        <w:tc>
          <w:tcPr>
            <w:tcW w:type="dxa" w:w="700"/>
            <w:shd w:fill="0E2647" w:val="clear"/>
            <w:tcMar>
              <w:top w:type="dxa" w:w="60"/>
              <w:left w:type="dxa" w:w="80"/>
              <w:bottom w:type="dxa" w:w="60"/>
              <w:right w:type="dxa" w:w="70"/>
            </w:tcMar>
          </w:tcPr>
          <w:p>
            <w:r>
              <w:rPr>
                <w:b/>
                <w:bCs/>
                <w:color w:val="FFFFFF"/>
                <w:sz w:val="12"/>
                <w:szCs w:val="12"/>
              </w:rPr>
              <w:t xml:space="preserve">KA</w:t>
            </w:r>
          </w:p>
        </w:tc>
      </w:tr>
      <w:tr>
        <w:tc>
          <w:tcPr>
            <w:tcW w:type="dxa" w:w="1600"/>
            <w:tcMar>
              <w:top w:type="dxa" w:w="50"/>
              <w:left w:type="dxa" w:w="80"/>
              <w:bottom w:type="dxa" w:w="50"/>
              <w:right w:type="dxa" w:w="70"/>
            </w:tcMar>
            <w:vAlign w:val="center"/>
          </w:tcPr>
          <w:p>
            <w:r>
              <w:rPr>
                <w:b/>
                <w:bCs/>
                <w:sz w:val="13"/>
                <w:szCs w:val="13"/>
              </w:rPr>
              <w:t xml:space="preserve">H-CC-01–07, 09–11</w:t>
            </w:r>
          </w:p>
        </w:tc>
        <w:tc>
          <w:tcPr>
            <w:tcW w:type="dxa" w:w="6400"/>
            <w:tcMar>
              <w:top w:type="dxa" w:w="50"/>
              <w:left w:type="dxa" w:w="80"/>
              <w:bottom w:type="dxa" w:w="50"/>
              <w:right w:type="dxa" w:w="70"/>
            </w:tcMar>
            <w:vAlign w:val="center"/>
          </w:tcPr>
          <w:p>
            <w:r>
              <w:rPr>
                <w:b w:val="false"/>
                <w:bCs w:val="false"/>
                <w:sz w:val="13"/>
                <w:szCs w:val="13"/>
              </w:rPr>
              <w:t xml:space="preserve">Emergency prep through telehealth (excl. fire/electrical, expanded below)</w:t>
            </w:r>
          </w:p>
        </w:tc>
        <w:tc>
          <w:tcPr>
            <w:tcW w:type="dxa" w:w="700"/>
            <w:tcMar>
              <w:top w:type="dxa" w:w="50"/>
              <w:left w:type="dxa" w:w="80"/>
              <w:bottom w:type="dxa" w:w="50"/>
              <w:right w:type="dxa" w:w="70"/>
            </w:tcMar>
            <w:vAlign w:val="center"/>
          </w:tcPr>
          <w:p>
            <w:r>
              <w:rPr>
                <w:b w:val="false"/>
                <w:bCs w:val="false"/>
                <w:sz w:val="13"/>
                <w:szCs w:val="13"/>
              </w:rPr>
              <w:t xml:space="preserve">9</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H-CC-08</w:t>
            </w:r>
          </w:p>
        </w:tc>
        <w:tc>
          <w:tcPr>
            <w:tcW w:type="dxa" w:w="6400"/>
            <w:tcMar>
              <w:top w:type="dxa" w:w="50"/>
              <w:left w:type="dxa" w:w="80"/>
              <w:bottom w:type="dxa" w:w="50"/>
              <w:right w:type="dxa" w:w="70"/>
            </w:tcMar>
            <w:vAlign w:val="center"/>
          </w:tcPr>
          <w:p>
            <w:r>
              <w:rPr>
                <w:b w:val="false"/>
                <w:bCs w:val="false"/>
                <w:sz w:val="13"/>
                <w:szCs w:val="13"/>
              </w:rPr>
              <w:t xml:space="preserve">General Facility &amp; Fire Safety (base)</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H-LSC-01</w:t>
            </w:r>
          </w:p>
        </w:tc>
        <w:tc>
          <w:tcPr>
            <w:tcW w:type="dxa" w:w="6400"/>
            <w:tcMar>
              <w:top w:type="dxa" w:w="50"/>
              <w:left w:type="dxa" w:w="80"/>
              <w:bottom w:type="dxa" w:w="50"/>
              <w:right w:type="dxa" w:w="70"/>
            </w:tcMar>
            <w:vAlign w:val="center"/>
          </w:tcPr>
          <w:p>
            <w:r>
              <w:rPr>
                <w:b w:val="false"/>
                <w:bCs w:val="false"/>
                <w:sz w:val="13"/>
                <w:szCs w:val="13"/>
              </w:rPr>
              <w:t xml:space="preserve">Life Safety Code Compliance (hospital-scale expansion of H-CC-08)</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H-CC-12</w:t>
            </w:r>
          </w:p>
        </w:tc>
        <w:tc>
          <w:tcPr>
            <w:tcW w:type="dxa" w:w="6400"/>
            <w:tcMar>
              <w:top w:type="dxa" w:w="50"/>
              <w:left w:type="dxa" w:w="80"/>
              <w:bottom w:type="dxa" w:w="50"/>
              <w:right w:type="dxa" w:w="70"/>
            </w:tcMar>
            <w:vAlign w:val="center"/>
          </w:tcPr>
          <w:p>
            <w:r>
              <w:rPr>
                <w:b w:val="false"/>
                <w:bCs w:val="false"/>
                <w:sz w:val="13"/>
                <w:szCs w:val="13"/>
              </w:rPr>
              <w:t xml:space="preserve">Electrical Safety &amp; Backup Power (base)</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H-UTIL-01</w:t>
            </w:r>
          </w:p>
        </w:tc>
        <w:tc>
          <w:tcPr>
            <w:tcW w:type="dxa" w:w="6400"/>
            <w:tcMar>
              <w:top w:type="dxa" w:w="50"/>
              <w:left w:type="dxa" w:w="80"/>
              <w:bottom w:type="dxa" w:w="50"/>
              <w:right w:type="dxa" w:w="70"/>
            </w:tcMar>
            <w:vAlign w:val="center"/>
          </w:tcPr>
          <w:p>
            <w:r>
              <w:rPr>
                <w:b w:val="false"/>
                <w:bCs w:val="false"/>
                <w:sz w:val="13"/>
                <w:szCs w:val="13"/>
              </w:rPr>
              <w:t xml:space="preserve">Medical Gas &amp; Critical Utility Systems (expansion of H-CC-12)</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bl>
    <w:p>
      <w:pPr>
        <w:pStyle w:val="Heading1"/>
        <w:pageBreakBefore/>
        <w:spacing w:after="110" w:before="220"/>
      </w:pPr>
      <w:r>
        <w:rPr>
          <w:b/>
          <w:bCs/>
          <w:color w:val="0E2647"/>
          <w:sz w:val="24"/>
          <w:szCs w:val="24"/>
        </w:rPr>
        <w:t xml:space="preserve">10. Dialysis, Patient Rights, Surgical/Anesthesia/Blood Bank, Inpatient Operations, Pharmacy</w:t>
      </w:r>
    </w:p>
    <w:tbl>
      <w:tblPr>
        <w:tblW w:type="dxa" w:w="9400"/>
        <w:tblBorders>
          <w:top w:val="single" w:color="D8DEE8" w:sz="4"/>
          <w:left w:val="single" w:color="D8DEE8" w:sz="4"/>
          <w:bottom w:val="single" w:color="D8DEE8" w:sz="4"/>
          <w:right w:val="single" w:color="D8DEE8" w:sz="4"/>
          <w:insideH w:val="single" w:color="D8DEE8" w:sz="4"/>
          <w:insideV w:val="single" w:color="D8DEE8" w:sz="4"/>
        </w:tblBorders>
      </w:tblPr>
      <w:tblGrid>
        <w:gridCol w:w="1600"/>
        <w:gridCol w:w="6400"/>
        <w:gridCol w:w="700"/>
        <w:gridCol w:w="700"/>
      </w:tblGrid>
      <w:tr>
        <w:tc>
          <w:tcPr>
            <w:tcW w:type="dxa" w:w="1600"/>
            <w:shd w:fill="0E2647" w:val="clear"/>
            <w:tcMar>
              <w:top w:type="dxa" w:w="60"/>
              <w:left w:type="dxa" w:w="80"/>
              <w:bottom w:type="dxa" w:w="60"/>
              <w:right w:type="dxa" w:w="70"/>
            </w:tcMar>
          </w:tcPr>
          <w:p>
            <w:r>
              <w:rPr>
                <w:b/>
                <w:bCs/>
                <w:color w:val="FFFFFF"/>
                <w:sz w:val="12"/>
                <w:szCs w:val="12"/>
              </w:rPr>
              <w:t xml:space="preserve">Code</w:t>
            </w:r>
          </w:p>
        </w:tc>
        <w:tc>
          <w:tcPr>
            <w:tcW w:type="dxa" w:w="6400"/>
            <w:shd w:fill="0E2647" w:val="clear"/>
            <w:tcMar>
              <w:top w:type="dxa" w:w="60"/>
              <w:left w:type="dxa" w:w="80"/>
              <w:bottom w:type="dxa" w:w="60"/>
              <w:right w:type="dxa" w:w="70"/>
            </w:tcMar>
          </w:tcPr>
          <w:p>
            <w:r>
              <w:rPr>
                <w:b/>
                <w:bCs/>
                <w:color w:val="FFFFFF"/>
                <w:sz w:val="12"/>
                <w:szCs w:val="12"/>
              </w:rPr>
              <w:t xml:space="preserve">Title</w:t>
            </w:r>
          </w:p>
        </w:tc>
        <w:tc>
          <w:tcPr>
            <w:tcW w:type="dxa" w:w="700"/>
            <w:shd w:fill="0E2647" w:val="clear"/>
            <w:tcMar>
              <w:top w:type="dxa" w:w="60"/>
              <w:left w:type="dxa" w:w="80"/>
              <w:bottom w:type="dxa" w:w="60"/>
              <w:right w:type="dxa" w:w="70"/>
            </w:tcMar>
          </w:tcPr>
          <w:p>
            <w:r>
              <w:rPr>
                <w:b/>
                <w:bCs/>
                <w:color w:val="FFFFFF"/>
                <w:sz w:val="12"/>
                <w:szCs w:val="12"/>
              </w:rPr>
              <w:t xml:space="preserve">EN</w:t>
            </w:r>
          </w:p>
        </w:tc>
        <w:tc>
          <w:tcPr>
            <w:tcW w:type="dxa" w:w="700"/>
            <w:shd w:fill="0E2647" w:val="clear"/>
            <w:tcMar>
              <w:top w:type="dxa" w:w="60"/>
              <w:left w:type="dxa" w:w="80"/>
              <w:bottom w:type="dxa" w:w="60"/>
              <w:right w:type="dxa" w:w="70"/>
            </w:tcMar>
          </w:tcPr>
          <w:p>
            <w:r>
              <w:rPr>
                <w:b/>
                <w:bCs/>
                <w:color w:val="FFFFFF"/>
                <w:sz w:val="12"/>
                <w:szCs w:val="12"/>
              </w:rPr>
              <w:t xml:space="preserve">KA</w:t>
            </w:r>
          </w:p>
        </w:tc>
      </w:tr>
      <w:tr>
        <w:tc>
          <w:tcPr>
            <w:tcW w:type="dxa" w:w="1600"/>
            <w:tcMar>
              <w:top w:type="dxa" w:w="50"/>
              <w:left w:type="dxa" w:w="80"/>
              <w:bottom w:type="dxa" w:w="50"/>
              <w:right w:type="dxa" w:w="70"/>
            </w:tcMar>
            <w:vAlign w:val="center"/>
          </w:tcPr>
          <w:p>
            <w:r>
              <w:rPr>
                <w:b/>
                <w:bCs/>
                <w:sz w:val="13"/>
                <w:szCs w:val="13"/>
              </w:rPr>
              <w:t xml:space="preserve">H-DIAL-01–05</w:t>
            </w:r>
          </w:p>
        </w:tc>
        <w:tc>
          <w:tcPr>
            <w:tcW w:type="dxa" w:w="6400"/>
            <w:tcMar>
              <w:top w:type="dxa" w:w="50"/>
              <w:left w:type="dxa" w:w="80"/>
              <w:bottom w:type="dxa" w:w="50"/>
              <w:right w:type="dxa" w:w="70"/>
            </w:tcMar>
            <w:vAlign w:val="center"/>
          </w:tcPr>
          <w:p>
            <w:r>
              <w:rPr>
                <w:b w:val="false"/>
                <w:bCs w:val="false"/>
                <w:sz w:val="13"/>
                <w:szCs w:val="13"/>
              </w:rPr>
              <w:t xml:space="preserve">Dialysis — vascular access through intradialytic emergency</w:t>
            </w:r>
          </w:p>
        </w:tc>
        <w:tc>
          <w:tcPr>
            <w:tcW w:type="dxa" w:w="700"/>
            <w:tcMar>
              <w:top w:type="dxa" w:w="50"/>
              <w:left w:type="dxa" w:w="80"/>
              <w:bottom w:type="dxa" w:w="50"/>
              <w:right w:type="dxa" w:w="70"/>
            </w:tcMar>
            <w:vAlign w:val="center"/>
          </w:tcPr>
          <w:p>
            <w:r>
              <w:rPr>
                <w:b w:val="false"/>
                <w:bCs w:val="false"/>
                <w:sz w:val="13"/>
                <w:szCs w:val="13"/>
              </w:rPr>
              <w:t xml:space="preserve">5</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H-PR-01–06</w:t>
            </w:r>
          </w:p>
        </w:tc>
        <w:tc>
          <w:tcPr>
            <w:tcW w:type="dxa" w:w="6400"/>
            <w:tcMar>
              <w:top w:type="dxa" w:w="50"/>
              <w:left w:type="dxa" w:w="80"/>
              <w:bottom w:type="dxa" w:w="50"/>
              <w:right w:type="dxa" w:w="70"/>
            </w:tcMar>
            <w:vAlign w:val="center"/>
          </w:tcPr>
          <w:p>
            <w:r>
              <w:rPr>
                <w:b w:val="false"/>
                <w:bCs w:val="false"/>
                <w:sz w:val="13"/>
                <w:szCs w:val="13"/>
              </w:rPr>
              <w:t xml:space="preserve">Patient Rights through Migrant &amp; Refugee-Inclusive Care</w:t>
            </w:r>
          </w:p>
        </w:tc>
        <w:tc>
          <w:tcPr>
            <w:tcW w:type="dxa" w:w="700"/>
            <w:tcMar>
              <w:top w:type="dxa" w:w="50"/>
              <w:left w:type="dxa" w:w="80"/>
              <w:bottom w:type="dxa" w:w="50"/>
              <w:right w:type="dxa" w:w="70"/>
            </w:tcMar>
            <w:vAlign w:val="center"/>
          </w:tcPr>
          <w:p>
            <w:r>
              <w:rPr>
                <w:b w:val="false"/>
                <w:bCs w:val="false"/>
                <w:sz w:val="13"/>
                <w:szCs w:val="13"/>
              </w:rPr>
              <w:t xml:space="preserve">3</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H-SURG-01</w:t>
            </w:r>
          </w:p>
        </w:tc>
        <w:tc>
          <w:tcPr>
            <w:tcW w:type="dxa" w:w="6400"/>
            <w:tcMar>
              <w:top w:type="dxa" w:w="50"/>
              <w:left w:type="dxa" w:w="80"/>
              <w:bottom w:type="dxa" w:w="50"/>
              <w:right w:type="dxa" w:w="70"/>
            </w:tcMar>
            <w:vAlign w:val="center"/>
          </w:tcPr>
          <w:p>
            <w:r>
              <w:rPr>
                <w:b w:val="false"/>
                <w:bCs w:val="false"/>
                <w:sz w:val="13"/>
                <w:szCs w:val="13"/>
              </w:rPr>
              <w:t xml:space="preserve">Surgical Safety Checklist (WHO)</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H-ANES-01</w:t>
            </w:r>
          </w:p>
        </w:tc>
        <w:tc>
          <w:tcPr>
            <w:tcW w:type="dxa" w:w="6400"/>
            <w:tcMar>
              <w:top w:type="dxa" w:w="50"/>
              <w:left w:type="dxa" w:w="80"/>
              <w:bottom w:type="dxa" w:w="50"/>
              <w:right w:type="dxa" w:w="70"/>
            </w:tcMar>
            <w:vAlign w:val="center"/>
          </w:tcPr>
          <w:p>
            <w:r>
              <w:rPr>
                <w:b w:val="false"/>
                <w:bCs w:val="false"/>
                <w:sz w:val="13"/>
                <w:szCs w:val="13"/>
              </w:rPr>
              <w:t xml:space="preserve">Anesthesia Services</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H-BB-01</w:t>
            </w:r>
          </w:p>
        </w:tc>
        <w:tc>
          <w:tcPr>
            <w:tcW w:type="dxa" w:w="6400"/>
            <w:tcMar>
              <w:top w:type="dxa" w:w="50"/>
              <w:left w:type="dxa" w:w="80"/>
              <w:bottom w:type="dxa" w:w="50"/>
              <w:right w:type="dxa" w:w="70"/>
            </w:tcMar>
            <w:vAlign w:val="center"/>
          </w:tcPr>
          <w:p>
            <w:r>
              <w:rPr>
                <w:b w:val="false"/>
                <w:bCs w:val="false"/>
                <w:sz w:val="13"/>
                <w:szCs w:val="13"/>
              </w:rPr>
              <w:t xml:space="preserve">Blood Transfusion Safety</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H-CSSD-01</w:t>
            </w:r>
          </w:p>
        </w:tc>
        <w:tc>
          <w:tcPr>
            <w:tcW w:type="dxa" w:w="6400"/>
            <w:tcMar>
              <w:top w:type="dxa" w:w="50"/>
              <w:left w:type="dxa" w:w="80"/>
              <w:bottom w:type="dxa" w:w="50"/>
              <w:right w:type="dxa" w:w="70"/>
            </w:tcMar>
            <w:vAlign w:val="center"/>
          </w:tcPr>
          <w:p>
            <w:r>
              <w:rPr>
                <w:b w:val="false"/>
                <w:bCs w:val="false"/>
                <w:sz w:val="13"/>
                <w:szCs w:val="13"/>
              </w:rPr>
              <w:t xml:space="preserve">CSSD Hospital-Scale Traceability (expansion of H-STR-01)</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H-REST-01</w:t>
            </w:r>
          </w:p>
        </w:tc>
        <w:tc>
          <w:tcPr>
            <w:tcW w:type="dxa" w:w="6400"/>
            <w:tcMar>
              <w:top w:type="dxa" w:w="50"/>
              <w:left w:type="dxa" w:w="80"/>
              <w:bottom w:type="dxa" w:w="50"/>
              <w:right w:type="dxa" w:w="70"/>
            </w:tcMar>
            <w:vAlign w:val="center"/>
          </w:tcPr>
          <w:p>
            <w:r>
              <w:rPr>
                <w:b w:val="false"/>
                <w:bCs w:val="false"/>
                <w:sz w:val="13"/>
                <w:szCs w:val="13"/>
              </w:rPr>
              <w:t xml:space="preserve">Restraint and Seclusion</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H-DIS-01</w:t>
            </w:r>
          </w:p>
        </w:tc>
        <w:tc>
          <w:tcPr>
            <w:tcW w:type="dxa" w:w="6400"/>
            <w:tcMar>
              <w:top w:type="dxa" w:w="50"/>
              <w:left w:type="dxa" w:w="80"/>
              <w:bottom w:type="dxa" w:w="50"/>
              <w:right w:type="dxa" w:w="70"/>
            </w:tcMar>
            <w:vAlign w:val="center"/>
          </w:tcPr>
          <w:p>
            <w:r>
              <w:rPr>
                <w:b w:val="false"/>
                <w:bCs w:val="false"/>
                <w:sz w:val="13"/>
                <w:szCs w:val="13"/>
              </w:rPr>
              <w:t xml:space="preserve">Discharge Planning</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H-ICU-01</w:t>
            </w:r>
          </w:p>
        </w:tc>
        <w:tc>
          <w:tcPr>
            <w:tcW w:type="dxa" w:w="6400"/>
            <w:tcMar>
              <w:top w:type="dxa" w:w="50"/>
              <w:left w:type="dxa" w:w="80"/>
              <w:bottom w:type="dxa" w:w="50"/>
              <w:right w:type="dxa" w:w="70"/>
            </w:tcMar>
            <w:vAlign w:val="center"/>
          </w:tcPr>
          <w:p>
            <w:r>
              <w:rPr>
                <w:b w:val="false"/>
                <w:bCs w:val="false"/>
                <w:sz w:val="13"/>
                <w:szCs w:val="13"/>
              </w:rPr>
              <w:t xml:space="preserve">Critical Care — ABCDEF Bundle</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H-UR-01</w:t>
            </w:r>
          </w:p>
        </w:tc>
        <w:tc>
          <w:tcPr>
            <w:tcW w:type="dxa" w:w="6400"/>
            <w:tcMar>
              <w:top w:type="dxa" w:w="50"/>
              <w:left w:type="dxa" w:w="80"/>
              <w:bottom w:type="dxa" w:w="50"/>
              <w:right w:type="dxa" w:w="70"/>
            </w:tcMar>
            <w:vAlign w:val="center"/>
          </w:tcPr>
          <w:p>
            <w:r>
              <w:rPr>
                <w:b w:val="false"/>
                <w:bCs w:val="false"/>
                <w:sz w:val="13"/>
                <w:szCs w:val="13"/>
              </w:rPr>
              <w:t xml:space="preserve">Utilization Review</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H-ADT-01</w:t>
            </w:r>
          </w:p>
        </w:tc>
        <w:tc>
          <w:tcPr>
            <w:tcW w:type="dxa" w:w="6400"/>
            <w:tcMar>
              <w:top w:type="dxa" w:w="50"/>
              <w:left w:type="dxa" w:w="80"/>
              <w:bottom w:type="dxa" w:w="50"/>
              <w:right w:type="dxa" w:w="70"/>
            </w:tcMar>
            <w:vAlign w:val="center"/>
          </w:tcPr>
          <w:p>
            <w:r>
              <w:rPr>
                <w:b w:val="false"/>
                <w:bCs w:val="false"/>
                <w:sz w:val="13"/>
                <w:szCs w:val="13"/>
              </w:rPr>
              <w:t xml:space="preserve">Bed Management (ADT)</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H-FOOD-01</w:t>
            </w:r>
          </w:p>
        </w:tc>
        <w:tc>
          <w:tcPr>
            <w:tcW w:type="dxa" w:w="6400"/>
            <w:tcMar>
              <w:top w:type="dxa" w:w="50"/>
              <w:left w:type="dxa" w:w="80"/>
              <w:bottom w:type="dxa" w:w="50"/>
              <w:right w:type="dxa" w:w="70"/>
            </w:tcMar>
            <w:vAlign w:val="center"/>
          </w:tcPr>
          <w:p>
            <w:r>
              <w:rPr>
                <w:b w:val="false"/>
                <w:bCs w:val="false"/>
                <w:sz w:val="13"/>
                <w:szCs w:val="13"/>
              </w:rPr>
              <w:t xml:space="preserve">Food and Dietetic Services</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H-OTP-01</w:t>
            </w:r>
          </w:p>
        </w:tc>
        <w:tc>
          <w:tcPr>
            <w:tcW w:type="dxa" w:w="6400"/>
            <w:tcMar>
              <w:top w:type="dxa" w:w="50"/>
              <w:left w:type="dxa" w:w="80"/>
              <w:bottom w:type="dxa" w:w="50"/>
              <w:right w:type="dxa" w:w="70"/>
            </w:tcMar>
            <w:vAlign w:val="center"/>
          </w:tcPr>
          <w:p>
            <w:r>
              <w:rPr>
                <w:b w:val="false"/>
                <w:bCs w:val="false"/>
                <w:sz w:val="13"/>
                <w:szCs w:val="13"/>
              </w:rPr>
              <w:t xml:space="preserve">Organ, Tissue, and Eye Procurement</w:t>
            </w:r>
          </w:p>
        </w:tc>
        <w:tc>
          <w:tcPr>
            <w:tcW w:type="dxa" w:w="700"/>
            <w:tcMar>
              <w:top w:type="dxa" w:w="50"/>
              <w:left w:type="dxa" w:w="80"/>
              <w:bottom w:type="dxa" w:w="50"/>
              <w:right w:type="dxa" w:w="70"/>
            </w:tcMar>
            <w:vAlign w:val="center"/>
          </w:tcPr>
          <w:p>
            <w:r>
              <w:rPr>
                <w:b w:val="false"/>
                <w:bCs w:val="false"/>
                <w:sz w:val="13"/>
                <w:szCs w:val="13"/>
              </w:rPr>
              <w:t xml:space="preserve">1</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H-MORT-01</w:t>
            </w:r>
          </w:p>
        </w:tc>
        <w:tc>
          <w:tcPr>
            <w:tcW w:type="dxa" w:w="6400"/>
            <w:tcMar>
              <w:top w:type="dxa" w:w="50"/>
              <w:left w:type="dxa" w:w="80"/>
              <w:bottom w:type="dxa" w:w="50"/>
              <w:right w:type="dxa" w:w="70"/>
            </w:tcMar>
            <w:vAlign w:val="center"/>
          </w:tcPr>
          <w:p>
            <w:r>
              <w:rPr>
                <w:b w:val="false"/>
                <w:bCs w:val="false"/>
                <w:sz w:val="13"/>
                <w:szCs w:val="13"/>
              </w:rPr>
              <w:t xml:space="preserve">Mortality Review and Post-Mortem Care</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r>
        <w:tc>
          <w:tcPr>
            <w:tcW w:type="dxa" w:w="1600"/>
            <w:tcMar>
              <w:top w:type="dxa" w:w="50"/>
              <w:left w:type="dxa" w:w="80"/>
              <w:bottom w:type="dxa" w:w="50"/>
              <w:right w:type="dxa" w:w="70"/>
            </w:tcMar>
            <w:vAlign w:val="center"/>
          </w:tcPr>
          <w:p>
            <w:r>
              <w:rPr>
                <w:b/>
                <w:bCs/>
                <w:sz w:val="13"/>
                <w:szCs w:val="13"/>
              </w:rPr>
              <w:t xml:space="preserve">H-PHARM-01</w:t>
            </w:r>
          </w:p>
        </w:tc>
        <w:tc>
          <w:tcPr>
            <w:tcW w:type="dxa" w:w="6400"/>
            <w:tcMar>
              <w:top w:type="dxa" w:w="50"/>
              <w:left w:type="dxa" w:w="80"/>
              <w:bottom w:type="dxa" w:w="50"/>
              <w:right w:type="dxa" w:w="70"/>
            </w:tcMar>
            <w:vAlign w:val="center"/>
          </w:tcPr>
          <w:p>
            <w:r>
              <w:rPr>
                <w:b w:val="false"/>
                <w:bCs w:val="false"/>
                <w:sz w:val="13"/>
                <w:szCs w:val="13"/>
              </w:rPr>
              <w:t xml:space="preserve">Sterile Compounding (USP &lt;797&gt;/&lt;800&gt;, expansion of H-MED-02)</w:t>
            </w:r>
          </w:p>
        </w:tc>
        <w:tc>
          <w:tcPr>
            <w:tcW w:type="dxa" w:w="700"/>
            <w:tcMar>
              <w:top w:type="dxa" w:w="50"/>
              <w:left w:type="dxa" w:w="80"/>
              <w:bottom w:type="dxa" w:w="50"/>
              <w:right w:type="dxa" w:w="70"/>
            </w:tcMar>
            <w:vAlign w:val="center"/>
          </w:tcPr>
          <w:p>
            <w:r>
              <w:rPr>
                <w:b w:val="false"/>
                <w:bCs w:val="false"/>
                <w:sz w:val="13"/>
                <w:szCs w:val="13"/>
              </w:rPr>
              <w:t xml:space="preserve">2</w:t>
            </w:r>
          </w:p>
        </w:tc>
        <w:tc>
          <w:tcPr>
            <w:tcW w:type="dxa" w:w="700"/>
            <w:tcMar>
              <w:top w:type="dxa" w:w="50"/>
              <w:left w:type="dxa" w:w="80"/>
              <w:bottom w:type="dxa" w:w="50"/>
              <w:right w:type="dxa" w:w="70"/>
            </w:tcMar>
            <w:vAlign w:val="center"/>
          </w:tcPr>
          <w:p>
            <w:r>
              <w:rPr>
                <w:b w:val="false"/>
                <w:bCs w:val="false"/>
                <w:sz w:val="13"/>
                <w:szCs w:val="13"/>
              </w:rPr>
              <w:t xml:space="preserve">✓</w:t>
            </w:r>
          </w:p>
        </w:tc>
      </w:tr>
    </w:tbl>
    <w:p>
      <w:pPr>
        <w:pStyle w:val="Heading1"/>
        <w:pageBreakBefore/>
        <w:spacing w:after="110" w:before="220"/>
      </w:pPr>
      <w:r>
        <w:rPr>
          <w:b/>
          <w:bCs/>
          <w:color w:val="0E2647"/>
          <w:sz w:val="24"/>
          <w:szCs w:val="24"/>
        </w:rPr>
        <w:t xml:space="preserve">11. Deep-Audit Findings and Fixes Applied (This Edition)</w:t>
      </w:r>
    </w:p>
    <w:p>
      <w:pPr>
        <w:spacing w:after="100" w:line="250"/>
      </w:pPr>
      <w:r>
        <w:rPr>
          <w:sz w:val="18"/>
          <w:szCs w:val="18"/>
        </w:rPr>
        <w:t xml:space="preserve">Before this pack was called ready for deployment, a second, deeper audit went beyond citation-matching and file-pairing checks (both already clean) to test genuine interconnection: cross-reference validity, RACI terminology consistency, section-numbering sequence, and token-list conformance. Four real issues were found and fixed:</w:t>
      </w:r>
    </w:p>
    <w:p>
      <w:pPr>
        <w:pBdr>
          <w:left w:val="single" w:color="C0392B" w:sz="16" w:space="10"/>
        </w:pBdr>
        <w:shd w:fill="FDECEC" w:val="clear"/>
        <w:spacing w:after="150" w:before="100"/>
      </w:pPr>
      <w:r>
        <w:rPr>
          <w:b/>
          <w:bCs/>
          <w:i/>
          <w:iCs/>
          <w:color w:val="7B241C"/>
          <w:sz w:val="16"/>
          <w:szCs w:val="16"/>
        </w:rPr>
        <w:t xml:space="preserve">1. Eight cross-references in seven new documents (H-CSSD-01, H-FOOD-01, H-LSC-01 ×2, H-MORT-01, H-NUR-01, H-PHARM-01, H-UTIL-01) pointed to old Ambulatory-pack codes instead of the correct H- codes. Fixed in both languages.</w:t>
      </w:r>
    </w:p>
    <w:p>
      <w:pPr>
        <w:pBdr>
          <w:left w:val="single" w:color="C0392B" w:sz="16" w:space="10"/>
        </w:pBdr>
        <w:shd w:fill="FDECEC" w:val="clear"/>
        <w:spacing w:after="150" w:before="100"/>
      </w:pPr>
      <w:r>
        <w:rPr>
          <w:b/>
          <w:bCs/>
          <w:i/>
          <w:iCs/>
          <w:color w:val="7B241C"/>
          <w:sz w:val="16"/>
          <w:szCs w:val="16"/>
        </w:rPr>
        <w:t xml:space="preserve">2. H-GOV-04 and H-GOV-11 referenced a Master Index and Records Index that did not yet exist for the Hospital pack. This document (H-MAP-01) and H-RECORDS-01 close that gap.</w:t>
      </w:r>
    </w:p>
    <w:p>
      <w:pPr>
        <w:pBdr>
          <w:left w:val="single" w:color="C0392B" w:sz="16" w:space="10"/>
        </w:pBdr>
        <w:shd w:fill="FDECEC" w:val="clear"/>
        <w:spacing w:after="150" w:before="100"/>
      </w:pPr>
      <w:r>
        <w:rPr>
          <w:b/>
          <w:bCs/>
          <w:i/>
          <w:iCs/>
          <w:color w:val="7B241C"/>
          <w:sz w:val="16"/>
          <w:szCs w:val="16"/>
        </w:rPr>
        <w:t xml:space="preserve">3. A pre-existing typo carried over from the original Ambulatory pack: H-IPC-02 cited its hand-hygiene audit form with a garbled, non-existent code. Corrected to reference the real form, correctly filed under H-IPC-01.</w:t>
      </w:r>
    </w:p>
    <w:p>
      <w:pPr>
        <w:pBdr>
          <w:left w:val="single" w:color="C0392B" w:sz="16" w:space="10"/>
        </w:pBdr>
        <w:shd w:fill="FDECEC" w:val="clear"/>
        <w:spacing w:after="150" w:before="100"/>
      </w:pPr>
      <w:r>
        <w:rPr>
          <w:b/>
          <w:bCs/>
          <w:i/>
          <w:iCs/>
          <w:color w:val="7B241C"/>
          <w:sz w:val="16"/>
          <w:szCs w:val="16"/>
        </w:rPr>
        <w:t xml:space="preserve">4. RACI tables used “Laboratory Lead” in three documents (H-LAB-01/02/03) and “Lab Lead” in thirteen others, for the identical role. Standardized to “Lab Lead” throughout.</w:t>
      </w:r>
    </w:p>
    <w:p>
      <w:pPr>
        <w:pBdr>
          <w:left w:val="single" w:color="C9A227" w:sz="16" w:space="10"/>
        </w:pBdr>
        <w:shd w:fill="FFF8E7" w:val="clear"/>
        <w:spacing w:after="150" w:before="100"/>
      </w:pPr>
      <w:r>
        <w:rPr>
          <w:i/>
          <w:iCs/>
          <w:color w:val="5C4A0A"/>
          <w:sz w:val="16"/>
          <w:szCs w:val="16"/>
        </w:rPr>
        <w:t xml:space="preserve">Verified after fixing: zero broken cross-references, zero invented tokens, 106/106 documents with correct sequential section numbering, 0 citation-reference mismatches across all 212 SOP/policy files.</w:t>
      </w:r>
    </w:p>
    <w:p>
      <w:pPr>
        <w:pStyle w:val="Heading1"/>
        <w:pageBreakBefore/>
        <w:spacing w:after="110" w:before="220"/>
      </w:pPr>
      <w:r>
        <w:rPr>
          <w:b/>
          <w:bCs/>
          <w:color w:val="0E2647"/>
          <w:sz w:val="24"/>
          <w:szCs w:val="24"/>
        </w:rPr>
        <w:t xml:space="preserve">12. What This Audit Does Not Replace</w:t>
      </w:r>
    </w:p>
    <w:p>
      <w:pPr>
        <w:pBdr>
          <w:left w:val="single" w:color="C0392B" w:sz="16" w:space="10"/>
        </w:pBdr>
        <w:shd w:fill="FDECEC" w:val="clear"/>
        <w:spacing w:after="150" w:before="100"/>
      </w:pPr>
      <w:r>
        <w:rPr>
          <w:b/>
          <w:bCs/>
          <w:i/>
          <w:iCs/>
          <w:color w:val="7B241C"/>
          <w:sz w:val="16"/>
          <w:szCs w:val="16"/>
        </w:rPr>
        <w:t xml:space="preserve">Every citation in this pack is real and traceable (CFR, NFPA, USP, CDC, WHO). No human clinical, legal, or compliance expert has yet reviewed this content. The 90 ported documents received a code-relabeling and phrase-level review, not an individual line-by-line re-read for hospital-context accuracy. No hospital-specific regulatory crosswalk exists yet for non-US jurisdictions. This pack is technically clean and internally consistent — it is not yet a substitute for expert sign-off before deployment.</w:t>
      </w:r>
    </w:p>
    <w:sectPr>
      <w:headerReference w:type="default" r:id="rId7"/>
      <w:footerReference w:type="default" r:id="rId8"/>
      <w:pgSz w:w="11906" w:h="16838" w:orient="portrait"/>
      <w:pgMar w:top="900" w:right="900" w:bottom="900" w:left="9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50"/>
    </w:pPr>
    <w:r>
      <w:rPr>
        <w:color w:val="6B778C"/>
        <w:sz w:val="10"/>
        <w:szCs w:val="10"/>
      </w:rPr>
      <w:t xml:space="preserve">Prepared by: [QUALITY MANAGER NAME]</w:t>
    </w:r>
    <w:r>
      <w:rPr>
        <w:sz w:val="10"/>
        <w:szCs w:val="10"/>
      </w:rPr>
      <w:t xml:space="preserve">	</w:t>
    </w:r>
    <w:r>
      <w:rPr>
        <w:color w:val="6B778C"/>
        <w:sz w:val="10"/>
        <w:szCs w:val="10"/>
      </w:rPr>
      <w:t xml:space="preserve">Page </w:t>
    </w:r>
    <w:r>
      <w:rPr>
        <w:color w:val="6B778C"/>
        <w:sz w:val="10"/>
        <w:szCs w:val="10"/>
      </w:rPr>
      <w:fldChar w:fldCharType="begin"/>
      <w:instrText xml:space="preserve">PAGE</w:instrText>
      <w:fldChar w:fldCharType="separate"/>
      <w:fldChar w:fldCharType="end"/>
    </w:r>
    <w:r>
      <w:rPr>
        <w:color w:val="6B778C"/>
        <w:sz w:val="10"/>
        <w:szCs w:val="10"/>
      </w:rPr>
      <w:t xml:space="preserve"> of </w:t>
    </w:r>
    <w:r>
      <w:rPr>
        <w:color w:val="6B778C"/>
        <w:sz w:val="10"/>
        <w:szCs w:val="1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EE8" w:sz="4"/>
      </w:pBdr>
      <w:tabs>
        <w:tab w:val="right" w:pos="9026"/>
      </w:tabs>
      <w:spacing w:after="50"/>
    </w:pPr>
    <w:r>
      <w:rPr>
        <w:b/>
        <w:bCs/>
        <w:color w:val="0E2647"/>
        <w:sz w:val="11"/>
        <w:szCs w:val="11"/>
      </w:rPr>
      <w:t xml:space="preserve">[ORGANIZATION NAME] · H-MAP-01 · Hospital Master Index</w:t>
    </w:r>
    <w:r>
      <w:rPr>
        <w:sz w:val="11"/>
        <w:szCs w:val="11"/>
      </w:rPr>
      <w:t xml:space="preserve">	</w:t>
    </w:r>
    <w:r>
      <w:rPr>
        <w:color w:val="6B778C"/>
        <w:sz w:val="11"/>
        <w:szCs w:val="11"/>
      </w:rPr>
      <w:t xml:space="preserve">Edition 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2026-09-15T03:08:11.329Z</dcterms:created>
  <dcterms:modified xsi:type="dcterms:W3CDTF">2026-09-15T03:08:11.337Z</dcterms:modified>
</cp:coreProperties>
</file>

<file path=docProps/custom.xml><?xml version="1.0" encoding="utf-8"?>
<Properties xmlns="http://schemas.openxmlformats.org/officeDocument/2006/custom-properties" xmlns:vt="http://schemas.openxmlformats.org/officeDocument/2006/docPropsVTypes"/>
</file>