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4"/>
          <w:szCs w:val="24"/>
        </w:rPr>
        <w:t xml:space="preserve">Duty of Candor and Adverse Event Disclosure</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 xml:space="preserve">H-CANDOR-01-EN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Duty of Candor and Adverse Event Disclosure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sz w:val="20"/>
          <w:szCs w:val="20"/>
        </w:rPr>
        <w:t xml:space="preserve">1. Purpose · 2. Scope · 3. Definitions · 4. The Real Disclosure Obligation · 5. What Disclosure Includes · 6. Relationship to Sentinel Events and CAPA · 7. Distribution of Responsibilities · 8. Accompanying Documentation · 9. Approval Sheet · References</w:t>
      </w:r>
    </w:p>
    <w:p>
      <w:pPr>
        <w:pStyle w:val="Heading1"/>
        <w:spacing w:after="120" w:before="240"/>
      </w:pPr>
      <w:r>
        <w:rPr>
          <w:b/>
          <w:bCs/>
          <w:color w:val="0E2647"/>
          <w:sz w:val="24"/>
          <w:szCs w:val="24"/>
        </w:rPr>
        <w:t xml:space="preserve">1. Purpose</w:t>
      </w:r>
    </w:p>
    <w:p>
      <w:pPr>
        <w:spacing w:after="110" w:line="260"/>
      </w:pPr>
      <w:r>
        <w:rPr>
          <w:sz w:val="20"/>
          <w:szCs w:val="20"/>
        </w:rPr>
        <w:t xml:space="preserve">To ensure [ORGANIZATION NAME] discloses harmful adverse events to affected patients and families honestly and promptly — a real ethical and, in many jurisdictions, legal obligation distinct from the internal corrective-action process in H-GOV-01, which exists to fix the system, not to tell the patient what happened.</w:t>
      </w:r>
    </w:p>
    <w:p>
      <w:pPr>
        <w:pStyle w:val="Heading1"/>
        <w:spacing w:after="120" w:before="240"/>
      </w:pPr>
      <w:r>
        <w:rPr>
          <w:b/>
          <w:bCs/>
          <w:color w:val="0E2647"/>
          <w:sz w:val="24"/>
          <w:szCs w:val="24"/>
        </w:rPr>
        <w:t xml:space="preserve">2. Scope</w:t>
      </w:r>
    </w:p>
    <w:p>
      <w:pPr>
        <w:spacing w:after="110" w:line="260"/>
      </w:pPr>
      <w:r>
        <w:rPr>
          <w:sz w:val="20"/>
          <w:szCs w:val="20"/>
        </w:rPr>
        <w:t xml:space="preserve">Applies to any adverse event at [ORGANIZATION NAME] that reaches a patient and causes harm, regardless of whether the event also qualifies as a sentinel event under H-GOV-01 Section 10.</w:t>
      </w:r>
    </w:p>
    <w:p>
      <w:pPr>
        <w:pStyle w:val="Heading1"/>
        <w:spacing w:after="120" w:before="240"/>
      </w:pPr>
      <w:r>
        <w:rPr>
          <w:b/>
          <w:bCs/>
          <w:color w:val="0E2647"/>
          <w:sz w:val="24"/>
          <w:szCs w:val="24"/>
        </w:rPr>
        <w:t xml:space="preserve">3. Definitions</w:t>
      </w:r>
    </w:p>
    <w:p>
      <w:pPr>
        <w:spacing w:after="70" w:line="245"/>
        <w:ind w:left="260" w:hanging="180"/>
      </w:pPr>
      <w:r>
        <w:rPr>
          <w:sz w:val="19"/>
          <w:szCs w:val="19"/>
        </w:rPr>
        <w:t xml:space="preserve">•  Duty of candor — the real obligation to tell a patient or their family, honestly and without minimization, when something has gone wrong in their care and caused or could cause harm</w:t>
      </w:r>
    </w:p>
    <w:p>
      <w:pPr>
        <w:pStyle w:val="Heading1"/>
        <w:spacing w:after="120" w:before="240"/>
      </w:pPr>
      <w:r>
        <w:rPr>
          <w:b/>
          <w:bCs/>
          <w:color w:val="0E2647"/>
          <w:sz w:val="24"/>
          <w:szCs w:val="24"/>
        </w:rPr>
        <w:t xml:space="preserve">4. The Real Disclosure Obligation</w:t>
      </w:r>
    </w:p>
    <w:p>
      <w:pPr>
        <w:pBdr>
          <w:left w:val="single" w:color="C0392B" w:sz="16" w:space="10"/>
        </w:pBdr>
        <w:shd w:fill="FDECEC" w:val="clear"/>
        <w:spacing w:after="160" w:before="110"/>
      </w:pPr>
      <w:r>
        <w:rPr>
          <w:b/>
          <w:bCs/>
          <w:i/>
          <w:iCs/>
          <w:color w:val="7B241C"/>
          <w:sz w:val="18"/>
          <w:szCs w:val="18"/>
        </w:rPr>
        <w:t xml:space="preserve">[ORGANIZATION NAME] discloses a harmful adverse event to the affected patient or family as soon as the relevant facts are reasonably known — disclosure is not delayed until an internal investigation is fully complete, though the disclosure is updated as more is learned. The disclosing clinician does not wait for legal or risk-management clearance to have the initial conversation, though risk management is notified promptly and can help prepare for it.</w:t>
      </w:r>
    </w:p>
    <w:p>
      <w:pPr>
        <w:pStyle w:val="Heading1"/>
        <w:spacing w:after="120" w:before="240"/>
      </w:pPr>
      <w:r>
        <w:rPr>
          <w:b/>
          <w:bCs/>
          <w:color w:val="0E2647"/>
          <w:sz w:val="24"/>
          <w:szCs w:val="24"/>
        </w:rPr>
        <w:t xml:space="preserve">5. What Disclosure Includes</w:t>
      </w:r>
    </w:p>
    <w:p>
      <w:pPr>
        <w:spacing w:after="110" w:line="260"/>
      </w:pPr>
      <w:r>
        <w:rPr>
          <w:sz w:val="20"/>
          <w:szCs w:val="20"/>
        </w:rPr>
        <w:t xml:space="preserve">A real disclosure conversation includes what happened, in language the patient or family can understand; the known or likely consequences; what is being done to address the immediate harm; and what will be done to find out why it happened. It does not include speculation about legal fault, and it is never used as an occasion to blame an individual staff member to the patient or family.</w:t>
      </w:r>
    </w:p>
    <w:p>
      <w:pPr>
        <w:pStyle w:val="Heading1"/>
        <w:spacing w:after="120" w:before="240"/>
      </w:pPr>
      <w:r>
        <w:rPr>
          <w:b/>
          <w:bCs/>
          <w:color w:val="0E2647"/>
          <w:sz w:val="24"/>
          <w:szCs w:val="24"/>
        </w:rPr>
        <w:t xml:space="preserve">6. Relationship to Sentinel Events and CAPA</w:t>
      </w:r>
    </w:p>
    <w:p>
      <w:pPr>
        <w:spacing w:after="110" w:line="260"/>
      </w:pPr>
      <w:r>
        <w:rPr>
          <w:sz w:val="20"/>
          <w:szCs w:val="20"/>
        </w:rPr>
        <w:t xml:space="preserve">An event requiring disclosure under this SOP frequently also triggers the Sentinel Event pathway in H-GOV-01 Section 10 and the corrective-action process in H-GOV-01 Section 7 — these run in parallel, not in sequence: the patient is told what happened while the system-level investigation is still underway, not after it concludes.</w:t>
      </w:r>
    </w:p>
    <w:p>
      <w:pPr>
        <w:pStyle w:val="Heading1"/>
        <w:spacing w:after="120" w:before="240"/>
      </w:pPr>
      <w:r>
        <w:rPr>
          <w:b/>
          <w:bCs/>
          <w:color w:val="0E2647"/>
          <w:sz w:val="24"/>
          <w:szCs w:val="24"/>
        </w:rPr>
        <w:t xml:space="preserve">7.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Medical Director</w:t>
            </w:r>
          </w:p>
        </w:tc>
        <w:tc>
          <w:tcPr>
            <w:shd w:fill="0E2647" w:val="clear"/>
            <w:tcMar>
              <w:top w:type="dxa" w:w="70"/>
              <w:left w:type="dxa" w:w="80"/>
              <w:bottom w:type="dxa" w:w="70"/>
              <w:right w:type="dxa" w:w="70"/>
            </w:tcMar>
          </w:tcPr>
          <w:p>
            <w:pPr>
              <w:jc w:val="center"/>
            </w:pPr>
            <w:r>
              <w:rPr>
                <w:b/>
                <w:bCs/>
                <w:color w:val="FFFFFF"/>
                <w:sz w:val="13"/>
                <w:szCs w:val="13"/>
              </w:rPr>
              <w:t xml:space="preserve">Treating Clinician</w:t>
            </w:r>
          </w:p>
        </w:tc>
        <w:tc>
          <w:tcPr>
            <w:shd w:fill="0E2647" w:val="clear"/>
            <w:tcMar>
              <w:top w:type="dxa" w:w="70"/>
              <w:left w:type="dxa" w:w="80"/>
              <w:bottom w:type="dxa" w:w="70"/>
              <w:right w:type="dxa" w:w="70"/>
            </w:tcMar>
          </w:tcPr>
          <w:p>
            <w:pPr>
              <w:jc w:val="center"/>
            </w:pPr>
            <w:r>
              <w:rPr>
                <w:b/>
                <w:bCs/>
                <w:color w:val="FFFFFF"/>
                <w:sz w:val="13"/>
                <w:szCs w:val="13"/>
              </w:rPr>
              <w:t xml:space="preserve">Risk Manager</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Initial disclosure conversation</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Disclosure preparation support</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r>
      <w:tr>
        <w:tc>
          <w:tcPr>
            <w:tcMar>
              <w:top w:type="dxa" w:w="70"/>
              <w:left w:type="dxa" w:w="80"/>
              <w:bottom w:type="dxa" w:w="70"/>
              <w:right w:type="dxa" w:w="70"/>
            </w:tcMar>
            <w:vAlign w:val="center"/>
          </w:tcPr>
          <w:p>
            <w:pPr>
              <w:jc w:val="left"/>
            </w:pPr>
            <w:r>
              <w:rPr>
                <w:b/>
                <w:bCs/>
                <w:sz w:val="14"/>
                <w:szCs w:val="14"/>
              </w:rPr>
              <w:t xml:space="preserve">Follow-up disclosure as facts develop</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8.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 xml:space="preserve">H-CANDOR-01-F01</w:t>
            </w:r>
          </w:p>
        </w:tc>
        <w:tc>
          <w:tcPr>
            <w:tcMar>
              <w:top w:type="dxa" w:w="70"/>
              <w:left w:type="dxa" w:w="100"/>
              <w:bottom w:type="dxa" w:w="70"/>
              <w:right w:type="dxa" w:w="90"/>
            </w:tcMar>
            <w:vAlign w:val="center"/>
          </w:tcPr>
          <w:p>
            <w:r>
              <w:rPr>
                <w:b w:val="false"/>
                <w:bCs w:val="false"/>
                <w:sz w:val="15"/>
                <w:szCs w:val="15"/>
              </w:rPr>
              <w:t xml:space="preserve">Adverse Event Disclosure Record</w:t>
            </w:r>
          </w:p>
        </w:tc>
      </w:tr>
      <w:tr>
        <w:tc>
          <w:tcPr>
            <w:tcMar>
              <w:top w:type="dxa" w:w="70"/>
              <w:left w:type="dxa" w:w="100"/>
              <w:bottom w:type="dxa" w:w="70"/>
              <w:right w:type="dxa" w:w="90"/>
            </w:tcMar>
            <w:vAlign w:val="center"/>
          </w:tcPr>
          <w:p>
            <w:r>
              <w:rPr>
                <w:b/>
                <w:bCs/>
                <w:sz w:val="15"/>
                <w:szCs w:val="15"/>
              </w:rPr>
              <w:t xml:space="preserve">H-GOV-01</w:t>
            </w:r>
          </w:p>
        </w:tc>
        <w:tc>
          <w:tcPr>
            <w:tcMar>
              <w:top w:type="dxa" w:w="70"/>
              <w:left w:type="dxa" w:w="100"/>
              <w:bottom w:type="dxa" w:w="70"/>
              <w:right w:type="dxa" w:w="90"/>
            </w:tcMar>
            <w:vAlign w:val="center"/>
          </w:tcPr>
          <w:p>
            <w:r>
              <w:rPr>
                <w:b w:val="false"/>
                <w:bCs w:val="false"/>
                <w:sz w:val="15"/>
                <w:szCs w:val="15"/>
              </w:rPr>
              <w:t xml:space="preserve">Nonconformity &amp; Corrective Action (Sentinel Event pathway)</w:t>
            </w:r>
          </w:p>
        </w:tc>
      </w:tr>
      <w:tr>
        <w:tc>
          <w:tcPr>
            <w:tcMar>
              <w:top w:type="dxa" w:w="70"/>
              <w:left w:type="dxa" w:w="100"/>
              <w:bottom w:type="dxa" w:w="70"/>
              <w:right w:type="dxa" w:w="90"/>
            </w:tcMar>
            <w:vAlign w:val="center"/>
          </w:tcPr>
          <w:p>
            <w:r>
              <w:rPr>
                <w:b/>
                <w:bCs/>
                <w:sz w:val="15"/>
                <w:szCs w:val="15"/>
              </w:rPr>
              <w:t xml:space="preserve">H-PS-02</w:t>
            </w:r>
          </w:p>
        </w:tc>
        <w:tc>
          <w:tcPr>
            <w:tcMar>
              <w:top w:type="dxa" w:w="70"/>
              <w:left w:type="dxa" w:w="100"/>
              <w:bottom w:type="dxa" w:w="70"/>
              <w:right w:type="dxa" w:w="90"/>
            </w:tcMar>
            <w:vAlign w:val="center"/>
          </w:tcPr>
          <w:p>
            <w:r>
              <w:rPr>
                <w:b w:val="false"/>
                <w:bCs w:val="false"/>
                <w:sz w:val="15"/>
                <w:szCs w:val="15"/>
              </w:rPr>
              <w:t xml:space="preserve">Clinical Incident &amp; Adverse Event Reporting</w:t>
            </w:r>
          </w:p>
        </w:tc>
      </w:tr>
    </w:tbl>
    <w:p>
      <w:pPr>
        <w:pStyle w:val="Heading1"/>
        <w:spacing w:after="120" w:before="240"/>
      </w:pPr>
      <w:r>
        <w:rPr>
          <w:b/>
          <w:bCs/>
          <w:color w:val="0E2647"/>
          <w:sz w:val="24"/>
          <w:szCs w:val="24"/>
        </w:rPr>
        <w:t xml:space="preserve">9.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[MEDICAL DIRECTOR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[DIRECTOR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This document reflects the general, widely-recognized ethical principle of open disclosure following patient harm, consistent with the internal-investigation timing already established in H-GOV-01. [ORGANIZATION NAME] confirms the specific legal disclosure requirements (including any statutory duty of candor) applicable in each jurisdiction in which it operates with local legal counsel, consistent with H-GOV-11's Regulatory Crosswalk approach.</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[MEDICAL DIRECTOR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9"/>
              <w:szCs w:val="9"/>
            </w:rPr>
            <w:t xml:space="preserve">  ·  H-CANDOR-01-EN · Duty of Candor &amp; Adverse Event Disclosure</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2026-09-15T03:46:37.889Z</dcterms:created>
  <dcterms:modified xsi:type="dcterms:W3CDTF">2026-09-15T03:46:37.889Z</dcterms:modified>
</cp:coreProperties>
</file>

<file path=docProps/custom.xml><?xml version="1.0" encoding="utf-8"?>
<Properties xmlns="http://schemas.openxmlformats.org/officeDocument/2006/custom-properties" xmlns:vt="http://schemas.openxmlformats.org/officeDocument/2006/docPropsVTypes"/>
</file>