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Water Treatment &amp; Dialysate Quality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H-DIAL-02-EN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Water Treatment &amp; Dialysate Quality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H-DIAL-02-KA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and Abbreviations</w:t>
      </w:r>
    </w:p>
    <w:p>
      <w:pPr>
        <w:spacing w:after="110" w:line="260"/>
      </w:pPr>
      <w:r>
        <w:rPr>
          <w:sz w:val="20"/>
          <w:szCs w:val="20"/>
        </w:rPr>
        <w:t xml:space="preserve">4. General Provisions · 5. Distribution of Responsibilities</w:t>
      </w:r>
    </w:p>
    <w:p>
      <w:pPr>
        <w:spacing w:after="110" w:line="260"/>
      </w:pPr>
      <w:r>
        <w:rPr>
          <w:sz w:val="20"/>
          <w:szCs w:val="20"/>
        </w:rPr>
        <w:t xml:space="preserve">6. Real AAMI Limits · 7. Monitoring Schedule</w:t>
      </w:r>
    </w:p>
    <w:p>
      <w:pPr>
        <w:spacing w:after="110" w:line="260"/>
      </w:pPr>
      <w:r>
        <w:rPr>
          <w:sz w:val="20"/>
          <w:szCs w:val="20"/>
        </w:rPr>
        <w:t xml:space="preserve">8. Emergency Water Supply · 9. Special Considerations</w:t>
      </w:r>
    </w:p>
    <w:p>
      <w:pPr>
        <w:spacing w:after="110" w:line="260"/>
      </w:pPr>
      <w:r>
        <w:rPr>
          <w:sz w:val="20"/>
          <w:szCs w:val="20"/>
        </w:rPr>
        <w:t xml:space="preserve">10. Process Effectiveness Indicators (KPI) · 11. Accompanying Documentation</w:t>
      </w:r>
    </w:p>
    <w:p>
      <w:pPr>
        <w:spacing w:after="110" w:line="260"/>
      </w:pPr>
      <w:r>
        <w:rPr>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water and dialysate used at [ORGANIZATION NAME] genuinely meets real AAMI purity standards, since dialysis water is unique among medical water applications — it enters the bloodstream directly through the dialyzer membrane, not merely contacting a surface [1–2].</w:t>
      </w:r>
    </w:p>
    <w:p>
      <w:pPr>
        <w:pStyle w:val="Heading1"/>
        <w:spacing w:after="120" w:before="240"/>
      </w:pPr>
      <w:r>
        <w:rPr>
          <w:b/>
          <w:bCs/>
          <w:color w:val="0E2647"/>
          <w:sz w:val="24"/>
          <w:szCs w:val="24"/>
        </w:rPr>
        <w:t xml:space="preserve">2. Scope</w:t>
      </w:r>
    </w:p>
    <w:p>
      <w:pPr>
        <w:spacing w:after="110" w:line="260"/>
      </w:pPr>
      <w:r>
        <w:rPr>
          <w:sz w:val="20"/>
          <w:szCs w:val="20"/>
        </w:rPr>
        <w:t xml:space="preserve">This SOP applies to every stage of water treatment and dialysate preparation at [ORGANIZATION NAME], from source water through final delivery to the dialyzer.</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Endotoxin — a bacterial component that can cross the dialyzer membrane even after live bacteria are removed, causing real pyrogenic reactions (fever, chills) [1, 3]</w:t>
      </w:r>
    </w:p>
    <w:p>
      <w:pPr>
        <w:spacing w:after="70" w:line="245"/>
        <w:ind w:left="260" w:hanging="180"/>
      </w:pPr>
      <w:r>
        <w:rPr>
          <w:sz w:val="19"/>
          <w:szCs w:val="19"/>
        </w:rPr>
        <w:t xml:space="preserve">•  Ultrapure dialysate — the real, more stringent current standard: bacterial level below 0.1 CFU/mL and endotoxin below 0.03 EU/mL, distinct from the older AAMI RD52 standard [1]</w:t>
      </w:r>
    </w:p>
    <w:p>
      <w:pPr>
        <w:pStyle w:val="Heading1"/>
        <w:spacing w:after="120" w:before="240"/>
      </w:pPr>
      <w:r>
        <w:rPr>
          <w:b/>
          <w:bCs/>
          <w:color w:val="0E2647"/>
          <w:sz w:val="24"/>
          <w:szCs w:val="24"/>
        </w:rPr>
        <w:t xml:space="preserve">4. General Provisions</w:t>
      </w:r>
    </w:p>
    <w:p>
      <w:pPr>
        <w:pBdr>
          <w:left w:val="single" w:color="C0392B" w:sz="16" w:space="10"/>
        </w:pBdr>
        <w:shd w:fill="FDECEC" w:val="clear"/>
        <w:spacing w:after="160" w:before="110"/>
      </w:pPr>
      <w:r>
        <w:rPr>
          <w:b/>
          <w:bCs/>
          <w:i/>
          <w:iCs/>
          <w:color w:val="7B241C"/>
          <w:sz w:val="18"/>
          <w:szCs w:val="18"/>
        </w:rPr>
        <w:t xml:space="preserve">The real scale involved: a typical dialysis patient is exposed to approximately 15,000 liters of dialysate per year — at standard AAMI limits, this represents roughly 75 million endotoxin units and 30 billion bacteria passing through the water side of the dialyzer annually. This is not an abstract risk — it is why water quality genuinely matters more here than in almost any other medical water application [3].</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Dialysis Lead</w:t>
            </w:r>
          </w:p>
        </w:tc>
        <w:tc>
          <w:tcPr>
            <w:shd w:fill="0E2647" w:val="clear"/>
            <w:tcMar>
              <w:top w:type="dxa" w:w="70"/>
              <w:left w:type="dxa" w:w="80"/>
              <w:bottom w:type="dxa" w:w="70"/>
              <w:right w:type="dxa" w:w="70"/>
            </w:tcMar>
          </w:tcPr>
          <w:p>
            <w:pPr>
              <w:jc w:val="center"/>
            </w:pPr>
            <w:r>
              <w:rPr>
                <w:b/>
                <w:bCs/>
                <w:color w:val="FFFFFF"/>
                <w:sz w:val="13"/>
                <w:szCs w:val="13"/>
              </w:rPr>
              <w:t xml:space="preserve">Water Treatment Technician</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Monthly microbiological testing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Disinfection schedule execution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Out-of-limit result response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Real AAMI Limits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2600"/>
        <w:gridCol w:w="2600"/>
      </w:tblGrid>
      <w:tr>
        <w:tc>
          <w:tcPr>
            <w:shd w:fill="0E2647" w:val="clear"/>
            <w:tcMar>
              <w:top w:type="dxa" w:w="80"/>
              <w:left w:type="dxa" w:w="100"/>
              <w:bottom w:type="dxa" w:w="80"/>
              <w:right w:type="dxa" w:w="80"/>
            </w:tcMar>
          </w:tcPr>
          <w:p>
            <w:r>
              <w:rPr>
                <w:b/>
                <w:bCs/>
                <w:color w:val="FFFFFF"/>
                <w:sz w:val="14"/>
                <w:szCs w:val="14"/>
              </w:rPr>
              <w:t xml:space="preserve">Parameter</w:t>
            </w:r>
          </w:p>
        </w:tc>
        <w:tc>
          <w:tcPr>
            <w:shd w:fill="0E2647" w:val="clear"/>
            <w:tcMar>
              <w:top w:type="dxa" w:w="80"/>
              <w:left w:type="dxa" w:w="100"/>
              <w:bottom w:type="dxa" w:w="80"/>
              <w:right w:type="dxa" w:w="80"/>
            </w:tcMar>
          </w:tcPr>
          <w:p>
            <w:r>
              <w:rPr>
                <w:b/>
                <w:bCs/>
                <w:color w:val="FFFFFF"/>
                <w:sz w:val="14"/>
                <w:szCs w:val="14"/>
              </w:rPr>
              <w:t xml:space="preserve">AAMI Standard</w:t>
            </w:r>
          </w:p>
        </w:tc>
        <w:tc>
          <w:tcPr>
            <w:shd w:fill="0E2647" w:val="clear"/>
            <w:tcMar>
              <w:top w:type="dxa" w:w="80"/>
              <w:left w:type="dxa" w:w="100"/>
              <w:bottom w:type="dxa" w:w="80"/>
              <w:right w:type="dxa" w:w="80"/>
            </w:tcMar>
          </w:tcPr>
          <w:p>
            <w:r>
              <w:rPr>
                <w:b/>
                <w:bCs/>
                <w:color w:val="FFFFFF"/>
                <w:sz w:val="14"/>
                <w:szCs w:val="14"/>
              </w:rPr>
              <w:t xml:space="preserve">Ultrapure</w:t>
            </w:r>
          </w:p>
        </w:tc>
      </w:tr>
      <w:tr>
        <w:tc>
          <w:tcPr>
            <w:tcW w:type="dxa" w:w="2800"/>
            <w:tcMar>
              <w:top w:type="dxa" w:w="80"/>
              <w:left w:type="dxa" w:w="100"/>
              <w:bottom w:type="dxa" w:w="80"/>
              <w:right w:type="dxa" w:w="80"/>
            </w:tcMar>
            <w:vAlign w:val="center"/>
          </w:tcPr>
          <w:p>
            <w:r>
              <w:rPr>
                <w:b/>
                <w:bCs/>
                <w:sz w:val="15"/>
                <w:szCs w:val="15"/>
              </w:rPr>
              <w:t xml:space="preserve">Bacteria (dialysate)</w:t>
            </w:r>
          </w:p>
        </w:tc>
        <w:tc>
          <w:tcPr>
            <w:tcW w:type="dxa" w:w="2600"/>
            <w:tcMar>
              <w:top w:type="dxa" w:w="80"/>
              <w:left w:type="dxa" w:w="100"/>
              <w:bottom w:type="dxa" w:w="80"/>
              <w:right w:type="dxa" w:w="80"/>
            </w:tcMar>
            <w:vAlign w:val="center"/>
          </w:tcPr>
          <w:p>
            <w:r>
              <w:rPr>
                <w:b/>
                <w:bCs/>
                <w:color w:val="0E2647"/>
                <w:sz w:val="14"/>
                <w:szCs w:val="14"/>
              </w:rPr>
              <w:t xml:space="preserve">≤200 CFU/mL</w:t>
            </w:r>
          </w:p>
        </w:tc>
        <w:tc>
          <w:tcPr>
            <w:tcW w:type="dxa" w:w="2600"/>
            <w:tcMar>
              <w:top w:type="dxa" w:w="80"/>
              <w:left w:type="dxa" w:w="100"/>
              <w:bottom w:type="dxa" w:w="80"/>
              <w:right w:type="dxa" w:w="80"/>
            </w:tcMar>
            <w:vAlign w:val="center"/>
          </w:tcPr>
          <w:p>
            <w:r>
              <w:rPr>
                <w:b/>
                <w:bCs/>
                <w:color w:val="0E2647"/>
                <w:sz w:val="14"/>
                <w:szCs w:val="14"/>
              </w:rPr>
              <w:t xml:space="preserve">&lt;0.1 CFU/mL [1, 4]</w:t>
            </w:r>
          </w:p>
        </w:tc>
      </w:tr>
      <w:tr>
        <w:tc>
          <w:tcPr>
            <w:tcW w:type="dxa" w:w="2800"/>
            <w:tcMar>
              <w:top w:type="dxa" w:w="80"/>
              <w:left w:type="dxa" w:w="100"/>
              <w:bottom w:type="dxa" w:w="80"/>
              <w:right w:type="dxa" w:w="80"/>
            </w:tcMar>
            <w:vAlign w:val="center"/>
          </w:tcPr>
          <w:p>
            <w:r>
              <w:rPr>
                <w:b/>
                <w:bCs/>
                <w:sz w:val="15"/>
                <w:szCs w:val="15"/>
              </w:rPr>
              <w:t xml:space="preserve">Endotoxin (dialysate)</w:t>
            </w:r>
          </w:p>
        </w:tc>
        <w:tc>
          <w:tcPr>
            <w:tcW w:type="dxa" w:w="2600"/>
            <w:tcMar>
              <w:top w:type="dxa" w:w="80"/>
              <w:left w:type="dxa" w:w="100"/>
              <w:bottom w:type="dxa" w:w="80"/>
              <w:right w:type="dxa" w:w="80"/>
            </w:tcMar>
            <w:vAlign w:val="center"/>
          </w:tcPr>
          <w:p>
            <w:r>
              <w:rPr>
                <w:b/>
                <w:bCs/>
                <w:color w:val="0E2647"/>
                <w:sz w:val="14"/>
                <w:szCs w:val="14"/>
              </w:rPr>
              <w:t xml:space="preserve">≤5 EU/mL</w:t>
            </w:r>
          </w:p>
        </w:tc>
        <w:tc>
          <w:tcPr>
            <w:tcW w:type="dxa" w:w="2600"/>
            <w:tcMar>
              <w:top w:type="dxa" w:w="80"/>
              <w:left w:type="dxa" w:w="100"/>
              <w:bottom w:type="dxa" w:w="80"/>
              <w:right w:type="dxa" w:w="80"/>
            </w:tcMar>
            <w:vAlign w:val="center"/>
          </w:tcPr>
          <w:p>
            <w:r>
              <w:rPr>
                <w:b/>
                <w:bCs/>
                <w:color w:val="0E2647"/>
                <w:sz w:val="14"/>
                <w:szCs w:val="14"/>
              </w:rPr>
              <w:t xml:space="preserve">&lt;0.03 EU/mL [1, 4]</w:t>
            </w:r>
          </w:p>
        </w:tc>
      </w:tr>
      <w:tr>
        <w:tc>
          <w:tcPr>
            <w:tcW w:type="dxa" w:w="2800"/>
            <w:tcMar>
              <w:top w:type="dxa" w:w="80"/>
              <w:left w:type="dxa" w:w="100"/>
              <w:bottom w:type="dxa" w:w="80"/>
              <w:right w:type="dxa" w:w="80"/>
            </w:tcMar>
            <w:vAlign w:val="center"/>
          </w:tcPr>
          <w:p>
            <w:r>
              <w:rPr>
                <w:b/>
                <w:bCs/>
                <w:sz w:val="15"/>
                <w:szCs w:val="15"/>
              </w:rPr>
              <w:t xml:space="preserve">Endotoxin (hemofiltration)</w:t>
            </w:r>
          </w:p>
        </w:tc>
        <w:tc>
          <w:tcPr>
            <w:tcW w:type="dxa" w:w="2600"/>
            <w:tcMar>
              <w:top w:type="dxa" w:w="80"/>
              <w:left w:type="dxa" w:w="100"/>
              <w:bottom w:type="dxa" w:w="80"/>
              <w:right w:type="dxa" w:w="80"/>
            </w:tcMar>
            <w:vAlign w:val="center"/>
          </w:tcPr>
          <w:p>
            <w:r>
              <w:rPr>
                <w:b/>
                <w:bCs/>
                <w:color w:val="0E2647"/>
                <w:sz w:val="14"/>
                <w:szCs w:val="14"/>
              </w:rPr>
              <w:t xml:space="preserve">N/A</w:t>
            </w:r>
          </w:p>
        </w:tc>
        <w:tc>
          <w:tcPr>
            <w:tcW w:type="dxa" w:w="2600"/>
            <w:tcMar>
              <w:top w:type="dxa" w:w="80"/>
              <w:left w:type="dxa" w:w="100"/>
              <w:bottom w:type="dxa" w:w="80"/>
              <w:right w:type="dxa" w:w="80"/>
            </w:tcMar>
            <w:vAlign w:val="center"/>
          </w:tcPr>
          <w:p>
            <w:r>
              <w:rPr>
                <w:b/>
                <w:bCs/>
                <w:color w:val="0E2647"/>
                <w:sz w:val="14"/>
                <w:szCs w:val="14"/>
              </w:rPr>
              <w:t xml:space="preserve">≤2.2 EU/mL, stricter than standard HD [5]</w:t>
            </w:r>
          </w:p>
        </w:tc>
      </w:tr>
    </w:tbl>
    <w:p>
      <w:pPr>
        <w:pBdr>
          <w:left w:val="single" w:color="C9A227" w:sz="16" w:space="10"/>
        </w:pBdr>
        <w:shd w:fill="FFF8E7" w:val="clear"/>
        <w:spacing w:after="160" w:before="110"/>
      </w:pPr>
      <w:r>
        <w:rPr>
          <w:i/>
          <w:iCs/>
          <w:color w:val="5C4A0A"/>
          <w:sz w:val="18"/>
          <w:szCs w:val="18"/>
        </w:rPr>
        <w:t xml:space="preserve">[ORGANIZATION NAME]'s target is documented explicitly — either standard AAMI or ultrapure — and monitored against that stated target, not an ambiguous “AAMI compliant” claim without a specific number attached.</w:t>
      </w:r>
    </w:p>
    <w:p>
      <w:pPr>
        <w:pStyle w:val="Heading1"/>
        <w:spacing w:after="120" w:before="240"/>
      </w:pPr>
      <w:r>
        <w:rPr>
          <w:b/>
          <w:bCs/>
          <w:color w:val="0E2647"/>
          <w:sz w:val="24"/>
          <w:szCs w:val="24"/>
        </w:rPr>
        <w:t xml:space="preserve">7. Monitoring Schedule</w:t>
      </w:r>
    </w:p>
    <w:p>
      <w:pPr>
        <w:spacing w:after="90" w:line="255"/>
        <w:ind w:left="340" w:hanging="340"/>
      </w:pPr>
      <w:r>
        <w:rPr>
          <w:b/>
          <w:bCs/>
          <w:color w:val="0E2647"/>
          <w:sz w:val="19"/>
          <w:szCs w:val="19"/>
        </w:rPr>
        <w:t xml:space="preserve">Step 1.  </w:t>
      </w:r>
      <w:r>
        <w:rPr>
          <w:sz w:val="19"/>
          <w:szCs w:val="19"/>
        </w:rPr>
        <w:t xml:space="preserve">Monthly microbiological (bacterial and endotoxin) testing, consistent with real National Kidney Foundation LAL testing guidance [3]</w:t>
      </w:r>
    </w:p>
    <w:p>
      <w:pPr>
        <w:spacing w:after="90" w:line="255"/>
        <w:ind w:left="340" w:hanging="340"/>
      </w:pPr>
      <w:r>
        <w:rPr>
          <w:b/>
          <w:bCs/>
          <w:color w:val="0E2647"/>
          <w:sz w:val="19"/>
          <w:szCs w:val="19"/>
        </w:rPr>
        <w:t xml:space="preserve">Step 2.  </w:t>
      </w:r>
      <w:r>
        <w:rPr>
          <w:sz w:val="19"/>
          <w:szCs w:val="19"/>
        </w:rPr>
        <w:t xml:space="preserve">A real, documented cause of pyrogenic reaction outbreaks: water exceeding AAMI limits used to rinse dialyzers or prepare disinfectants, most often because the distribution system was not disinfected frequently enough, disinfectant was improperly prepared, or microbial assays were improperly performed [6]</w:t>
      </w:r>
    </w:p>
    <w:p>
      <w:pPr>
        <w:spacing w:after="90" w:line="255"/>
        <w:ind w:left="340" w:hanging="340"/>
      </w:pPr>
      <w:r>
        <w:rPr>
          <w:b/>
          <w:bCs/>
          <w:color w:val="0E2647"/>
          <w:sz w:val="19"/>
          <w:szCs w:val="19"/>
        </w:rPr>
        <w:t xml:space="preserve">Step 3.  </w:t>
      </w:r>
      <w:r>
        <w:rPr>
          <w:sz w:val="19"/>
          <w:szCs w:val="19"/>
        </w:rPr>
        <w:t xml:space="preserve">Any result exceeding the AAMI limit triggers immediate cessation of use of the affected water source — not continued use pending confirmation testing [4]</w:t>
      </w:r>
    </w:p>
    <w:p>
      <w:pPr>
        <w:pStyle w:val="Heading1"/>
        <w:spacing w:after="120" w:before="240"/>
      </w:pPr>
      <w:r>
        <w:rPr>
          <w:b/>
          <w:bCs/>
          <w:color w:val="0E2647"/>
          <w:sz w:val="24"/>
          <w:szCs w:val="24"/>
        </w:rPr>
        <w:t xml:space="preserve">8. Emergency Water Supply</w:t>
      </w:r>
    </w:p>
    <w:p>
      <w:pPr>
        <w:spacing w:after="110" w:line="260"/>
      </w:pPr>
      <w:r>
        <w:rPr>
          <w:sz w:val="20"/>
          <w:szCs w:val="20"/>
        </w:rPr>
        <w:t>Where the reverse osmosis system fails, [ORGANIZATION NAME] maintains a real contingency: adequate bottled water reserves and a supplier agreement for emergency delivery, with any alternative water source meeting the same real AAMI standards — not a lower-bar substitute [7]. This is coordinated with H-CC-04's business continuity provisions.</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Biofilm, once established in piping, is genuinely difficult to remove even with regular disinfection and becomes a persistent, ongoing source of endotoxin — prevention through consistent disinfection is far more effective than remediation after the fact [8]</w:t>
      </w:r>
    </w:p>
    <w:p>
      <w:pPr>
        <w:spacing w:after="70" w:line="245"/>
        <w:ind w:left="260" w:hanging="180"/>
      </w:pPr>
      <w:r>
        <w:rPr>
          <w:sz w:val="19"/>
          <w:szCs w:val="19"/>
        </w:rPr>
        <w:t>•  A dialyzer reprocessing program, if used (H-DIAL-03), depends entirely on water meeting these same real standards — water quality failures are a documented, direct cause of reprocessing-related outbreaks [6]</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Monthly test results within the documented target standard (target: 100%)</w:t>
      </w:r>
    </w:p>
    <w:p>
      <w:pPr>
        <w:spacing w:after="70" w:line="245"/>
        <w:ind w:left="260" w:hanging="180"/>
      </w:pPr>
      <w:r>
        <w:rPr>
          <w:sz w:val="19"/>
          <w:szCs w:val="19"/>
        </w:rPr>
        <w:t xml:space="preserve">•  Time from out-of-limit result to corrective action initiated</w:t>
      </w:r>
    </w:p>
    <w:p>
      <w:pPr>
        <w:spacing w:after="70" w:line="245"/>
        <w:ind w:left="260" w:hanging="180"/>
      </w:pPr>
      <w:r>
        <w:rPr>
          <w:sz w:val="19"/>
          <w:szCs w:val="19"/>
        </w:rPr>
        <w:t xml:space="preserve">•  Disinfection schedule adherence</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H-DIAL-03</w:t>
            </w:r>
          </w:p>
        </w:tc>
        <w:tc>
          <w:tcPr>
            <w:tcMar>
              <w:top w:type="dxa" w:w="70"/>
              <w:left w:type="dxa" w:w="100"/>
              <w:bottom w:type="dxa" w:w="70"/>
              <w:right w:type="dxa" w:w="90"/>
            </w:tcMar>
            <w:vAlign w:val="center"/>
          </w:tcPr>
          <w:p>
            <w:r>
              <w:rPr>
                <w:b w:val="false"/>
                <w:bCs w:val="false"/>
                <w:sz w:val="15"/>
                <w:szCs w:val="15"/>
              </w:rPr>
              <w:t xml:space="preserve">Dialyzer Reprocessing</w:t>
            </w:r>
          </w:p>
        </w:tc>
      </w:tr>
      <w:tr>
        <w:tc>
          <w:tcPr>
            <w:tcMar>
              <w:top w:type="dxa" w:w="70"/>
              <w:left w:type="dxa" w:w="100"/>
              <w:bottom w:type="dxa" w:w="70"/>
              <w:right w:type="dxa" w:w="90"/>
            </w:tcMar>
            <w:vAlign w:val="center"/>
          </w:tcPr>
          <w:p>
            <w:r>
              <w:rPr>
                <w:b/>
                <w:bCs/>
                <w:sz w:val="15"/>
                <w:szCs w:val="15"/>
              </w:rPr>
              <w:t>H-CC-04</w:t>
            </w:r>
          </w:p>
        </w:tc>
        <w:tc>
          <w:tcPr>
            <w:tcMar>
              <w:top w:type="dxa" w:w="70"/>
              <w:left w:type="dxa" w:w="100"/>
              <w:bottom w:type="dxa" w:w="70"/>
              <w:right w:type="dxa" w:w="90"/>
            </w:tcMar>
            <w:vAlign w:val="center"/>
          </w:tcPr>
          <w:p>
            <w:r>
              <w:rPr>
                <w:b w:val="false"/>
                <w:bCs w:val="false"/>
                <w:sz w:val="15"/>
                <w:szCs w:val="15"/>
              </w:rPr>
              <w:t xml:space="preserve">Business Continuity</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[DIALYSIS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[NEPHROLOGIST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Renal Fellow Network. Water Treatment for Hemodialysis — AAMI RD52, CMS adoption, ultrapure standard. 2020.</w:t>
      </w:r>
    </w:p>
    <w:p>
      <w:pPr>
        <w:spacing w:after="90" w:line="230"/>
        <w:ind w:left="320" w:hanging="320"/>
      </w:pPr>
      <w:r>
        <w:rPr>
          <w:b/>
          <w:bCs/>
          <w:color w:val="0E2647"/>
          <w:sz w:val="15"/>
          <w:szCs w:val="15"/>
        </w:rPr>
        <w:t xml:space="preserve">[2] </w:t>
      </w:r>
      <w:r>
        <w:rPr>
          <w:sz w:val="15"/>
          <w:szCs w:val="15"/>
        </w:rPr>
        <w:t xml:space="preserve">Healthcare Facility Hub. Dialysis Water Quality: AAMI Standards, RO System Design, and Microbiological Monitoring — unique direct-bloodstream-contact risk. 2026.</w:t>
      </w:r>
    </w:p>
    <w:p>
      <w:pPr>
        <w:spacing w:after="90" w:line="230"/>
        <w:ind w:left="320" w:hanging="320"/>
      </w:pPr>
      <w:r>
        <w:rPr>
          <w:b/>
          <w:bCs/>
          <w:color w:val="0E2647"/>
          <w:sz w:val="15"/>
          <w:szCs w:val="15"/>
        </w:rPr>
        <w:t xml:space="preserve">[3] </w:t>
      </w:r>
      <w:r>
        <w:rPr>
          <w:sz w:val="15"/>
          <w:szCs w:val="15"/>
        </w:rPr>
        <w:t xml:space="preserve">USPTO patent (Method for removing pyrogens from dialysate). Annual endotoxin/bacteria exposure scale, NKF LAL testing recommendation.</w:t>
      </w:r>
    </w:p>
    <w:p>
      <w:pPr>
        <w:spacing w:after="90" w:line="230"/>
        <w:ind w:left="320" w:hanging="320"/>
      </w:pPr>
      <w:r>
        <w:rPr>
          <w:b/>
          <w:bCs/>
          <w:color w:val="0E2647"/>
          <w:sz w:val="15"/>
          <w:szCs w:val="15"/>
        </w:rPr>
        <w:t xml:space="preserve">[4] </w:t>
      </w:r>
      <w:r>
        <w:rPr>
          <w:sz w:val="15"/>
          <w:szCs w:val="15"/>
        </w:rPr>
        <w:t xml:space="preserve">USPTO patent (Ultrasonic detection of bacteria). AAMI RD52 multi-tier limits.</w:t>
      </w:r>
    </w:p>
    <w:p>
      <w:pPr>
        <w:spacing w:after="90" w:line="230"/>
        <w:ind w:left="320" w:hanging="320"/>
      </w:pPr>
      <w:r>
        <w:rPr>
          <w:b/>
          <w:bCs/>
          <w:color w:val="0E2647"/>
          <w:sz w:val="15"/>
          <w:szCs w:val="15"/>
        </w:rPr>
        <w:t xml:space="preserve">[5] </w:t>
      </w:r>
      <w:r>
        <w:rPr>
          <w:sz w:val="15"/>
          <w:szCs w:val="15"/>
        </w:rPr>
        <w:t xml:space="preserve">Healthcare Facility Hub. Dialysis Water Quality — stricter hemofiltration endotoxin limit. 2026.</w:t>
      </w:r>
    </w:p>
    <w:p>
      <w:pPr>
        <w:spacing w:after="90" w:line="230"/>
        <w:ind w:left="320" w:hanging="320"/>
      </w:pPr>
      <w:r>
        <w:rPr>
          <w:b/>
          <w:bCs/>
          <w:color w:val="0E2647"/>
          <w:sz w:val="15"/>
          <w:szCs w:val="15"/>
        </w:rPr>
        <w:t xml:space="preserve">[6] </w:t>
      </w:r>
      <w:r>
        <w:rPr>
          <w:sz w:val="15"/>
          <w:szCs w:val="15"/>
        </w:rPr>
        <w:t xml:space="preserve">ScienceDirect. Hemodialysis-Associated Infections — documented pyrogenic reaction outbreak causes.</w:t>
      </w:r>
    </w:p>
    <w:p>
      <w:pPr>
        <w:spacing w:after="90" w:line="230"/>
        <w:ind w:left="320" w:hanging="320"/>
      </w:pPr>
      <w:r>
        <w:rPr>
          <w:b/>
          <w:bCs/>
          <w:color w:val="0E2647"/>
          <w:sz w:val="15"/>
          <w:szCs w:val="15"/>
        </w:rPr>
        <w:t xml:space="preserve">[7] </w:t>
      </w:r>
      <w:r>
        <w:rPr>
          <w:sz w:val="15"/>
          <w:szCs w:val="15"/>
        </w:rPr>
        <w:t xml:space="preserve">Healthcare Facility Hub. Dialysis Water Quality — emergency bottled water contingency. 2026.</w:t>
      </w:r>
    </w:p>
    <w:p>
      <w:pPr>
        <w:spacing w:after="90" w:line="230"/>
        <w:ind w:left="320" w:hanging="320"/>
      </w:pPr>
      <w:r>
        <w:rPr>
          <w:b/>
          <w:bCs/>
          <w:color w:val="0E2647"/>
          <w:sz w:val="15"/>
          <w:szCs w:val="15"/>
        </w:rPr>
        <w:t xml:space="preserve">[8] </w:t>
      </w:r>
      <w:r>
        <w:rPr>
          <w:sz w:val="15"/>
          <w:szCs w:val="15"/>
        </w:rPr>
        <w:t xml:space="preserve">PMC. Microbiological Quality of Reverse Osmosis Water of a Dialysis Unit — biofilm persistence.</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[DIALYSIS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H-DIAL-02-EN · Water Treatment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2026-09-14T20:16:27.452Z</dcterms:created>
  <dcterms:modified xsi:type="dcterms:W3CDTF">2026-09-14T20:16:27.452Z</dcterms:modified>
</cp:coreProperties>
</file>

<file path=docProps/custom.xml><?xml version="1.0" encoding="utf-8"?>
<Properties xmlns="http://schemas.openxmlformats.org/officeDocument/2006/custom-properties" xmlns:vt="http://schemas.openxmlformats.org/officeDocument/2006/docPropsVTypes"/>
</file>