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წყლის დამუშავება და დიალიზატის ხარისხი</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H-DIAL-02-KA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წყლის დამუშავება და დიალიზატის ხარისხი</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w:t>
      </w:r>
    </w:p>
    <w:p>
      <w:pPr>
        <w:spacing w:after="110" w:line="260"/>
      </w:pPr>
      <w:r>
        <w:rPr>
          <w:sz w:val="20"/>
          <w:szCs w:val="20"/>
        </w:rPr>
        <w:t xml:space="preserve">4. ზოგადი დებულებები · 5. პასუხისმგებლობების განაწილება</w:t>
      </w:r>
    </w:p>
    <w:p>
      <w:pPr>
        <w:spacing w:after="110" w:line="260"/>
      </w:pPr>
      <w:r>
        <w:rPr>
          <w:sz w:val="20"/>
          <w:szCs w:val="20"/>
        </w:rPr>
        <w:t xml:space="preserve">6. რეალური AAMI ზღვრები · 7. მონიტორინგის გრაფიკი</w:t>
      </w:r>
    </w:p>
    <w:p>
      <w:pPr>
        <w:spacing w:after="110" w:line="260"/>
      </w:pPr>
      <w:r>
        <w:rPr>
          <w:sz w:val="20"/>
          <w:szCs w:val="20"/>
        </w:rPr>
        <w:t xml:space="preserve">8. საგანგებო წყლის მარაგი · 9. განსაკუთრებული პირობები</w:t>
      </w:r>
    </w:p>
    <w:p>
      <w:pPr>
        <w:spacing w:after="110" w:line="260"/>
      </w:pPr>
      <w:r>
        <w:rPr>
          <w:sz w:val="20"/>
          <w:szCs w:val="20"/>
        </w:rPr>
        <w:t xml:space="preserve">10. პროცესის ეფექტურობის მაჩვენებლები (KPI) · 11. თანმხლები დოკუმენტაცია</w:t>
      </w:r>
    </w:p>
    <w:p>
      <w:pPr>
        <w:spacing w:after="110" w:line="260"/>
      </w:pPr>
      <w:r>
        <w:rPr>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NAME]-ში გამოყენებული წყლისა და დიალიზატის ჭეშმარიტად რეალურ AAMI სისუფთავის სტანდარტებთან შესატყვისობის უზრუნველყოფა, ვინაიდან დიალიზის წყალი უნიკალურია სამედიცინო წყლის აპლიკაციებს შორის — ის შედის სისხლის ნაკადში პირდაპირ დიალიზატორის მემბრანის მეშვეობით, არა უბრალოდ ზედაპირთან შეხებით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წინამდებარე პროცედურა ვრცელდება წყლის დამუშავებისა და დიალიზატის მომზადების ყოველ ეტაპზე [ORGANIZATION NAME]-ში, წყაროს წყლიდან საბოლოო დიალიზატორამდე მიწოდებამდე.</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ენდოტოქსინი — ბაქტერიული კომპონენტი, რომელსაც შეუძლია გადალახოს დიალიზატორის მემბრანა თუნდაც ცოცხალი ბაქტერიების მოცილების შემდეგ, იწვევს რეალურ პიროგენულ რეაქციებს (ცხელება, გულისცემა) [1, 3]</w:t>
      </w:r>
    </w:p>
    <w:p>
      <w:pPr>
        <w:spacing w:after="70" w:line="245"/>
        <w:ind w:left="260" w:hanging="180"/>
      </w:pPr>
      <w:r>
        <w:rPr>
          <w:sz w:val="19"/>
          <w:szCs w:val="19"/>
        </w:rPr>
        <w:t xml:space="preserve">•  ულტრასუფთა დიალიზატი — რეალური, უფრო მკაცრი მიმდინარე სტანდარტი: ბაქტერიების დონე 0.1 CFU/მლ-ზე დაბალი და ენდოტოქსინი 0.03 EU/მლ-ზე დაბალი, განსხვავებული ძველი AAMI RD52 სტანდარტისგან [1]</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მასშტაბი: ჩვეულებრივ დიალიზის პაციენტს ზემოქმედება აქვს დაახლოებით 15,000 ლიტრ დიალიზატზე წელიწადში — სტანდარტული AAMI ზღვრებზე, ეს წარმოადგენს დაახლოებით 75 მილიონ ენდოტოქსინის ერთეულს და 30 მილიარდ ბაქტერიას, რომლებიც წლის განმავლობაში გადის დიალიზატორის წყლის მხარეზე. ეს არ არის აბსტრაქტული რისკი — სწორედ ამიტომ წყლის ხარისხი ჭეშმარიტად უფრო მნიშვნელოვანია აქ, ვიდრე თითქმის ნებისმიერ სხვა სამედიცინო წყლის აპლიკაციაში [3].</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დიალიზის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წყლის დამუშავების ტექნიკოსი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ყოველთვიური მიკრობიოლოგიური ტესტირება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დეზინფექციის გრაფიკის შესრულება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ზღვარს-გარეთ შედეგზე რეაგირება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რეალური AAMI ზღვრები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2600"/>
        <w:gridCol w:w="2600"/>
      </w:tblGrid>
      <w:tr>
        <w:tc>
          <w:tcPr>
            <w:shd w:fill="0E2647" w:val="clear"/>
            <w:tcMar>
              <w:top w:type="dxa" w:w="80"/>
              <w:left w:type="dxa" w:w="100"/>
              <w:bottom w:type="dxa" w:w="80"/>
              <w:right w:type="dxa" w:w="80"/>
            </w:tcMar>
          </w:tcPr>
          <w:p>
            <w:r>
              <w:rPr>
                <w:b/>
                <w:bCs/>
                <w:color w:val="FFFFFF"/>
                <w:sz w:val="14"/>
                <w:szCs w:val="14"/>
              </w:rPr>
              <w:t xml:space="preserve">პარამეტრი</w:t>
            </w:r>
          </w:p>
        </w:tc>
        <w:tc>
          <w:tcPr>
            <w:shd w:fill="0E2647" w:val="clear"/>
            <w:tcMar>
              <w:top w:type="dxa" w:w="80"/>
              <w:left w:type="dxa" w:w="100"/>
              <w:bottom w:type="dxa" w:w="80"/>
              <w:right w:type="dxa" w:w="80"/>
            </w:tcMar>
          </w:tcPr>
          <w:p>
            <w:r>
              <w:rPr>
                <w:b/>
                <w:bCs/>
                <w:color w:val="FFFFFF"/>
                <w:sz w:val="14"/>
                <w:szCs w:val="14"/>
              </w:rPr>
              <w:t xml:space="preserve">AAMI სტანდარტი</w:t>
            </w:r>
          </w:p>
        </w:tc>
        <w:tc>
          <w:tcPr>
            <w:shd w:fill="0E2647" w:val="clear"/>
            <w:tcMar>
              <w:top w:type="dxa" w:w="80"/>
              <w:left w:type="dxa" w:w="100"/>
              <w:bottom w:type="dxa" w:w="80"/>
              <w:right w:type="dxa" w:w="80"/>
            </w:tcMar>
          </w:tcPr>
          <w:p>
            <w:r>
              <w:rPr>
                <w:b/>
                <w:bCs/>
                <w:color w:val="FFFFFF"/>
                <w:sz w:val="14"/>
                <w:szCs w:val="14"/>
              </w:rPr>
              <w:t xml:space="preserve">ულტრასუფთა</w:t>
            </w:r>
          </w:p>
        </w:tc>
      </w:tr>
      <w:tr>
        <w:tc>
          <w:tcPr>
            <w:tcW w:type="dxa" w:w="2800"/>
            <w:tcMar>
              <w:top w:type="dxa" w:w="80"/>
              <w:left w:type="dxa" w:w="100"/>
              <w:bottom w:type="dxa" w:w="80"/>
              <w:right w:type="dxa" w:w="80"/>
            </w:tcMar>
            <w:vAlign w:val="center"/>
          </w:tcPr>
          <w:p>
            <w:r>
              <w:rPr>
                <w:b/>
                <w:bCs/>
                <w:sz w:val="14"/>
                <w:szCs w:val="14"/>
              </w:rPr>
              <w:t xml:space="preserve">ბაქტერიები (დიალიზატი)</w:t>
            </w:r>
          </w:p>
        </w:tc>
        <w:tc>
          <w:tcPr>
            <w:tcW w:type="dxa" w:w="2600"/>
            <w:tcMar>
              <w:top w:type="dxa" w:w="80"/>
              <w:left w:type="dxa" w:w="100"/>
              <w:bottom w:type="dxa" w:w="80"/>
              <w:right w:type="dxa" w:w="80"/>
            </w:tcMar>
            <w:vAlign w:val="center"/>
          </w:tcPr>
          <w:p>
            <w:r>
              <w:rPr>
                <w:b/>
                <w:bCs/>
                <w:color w:val="0E2647"/>
                <w:sz w:val="13"/>
                <w:szCs w:val="13"/>
              </w:rPr>
              <w:t xml:space="preserve">≤200 CFU/მლ</w:t>
            </w:r>
          </w:p>
        </w:tc>
        <w:tc>
          <w:tcPr>
            <w:tcW w:type="dxa" w:w="2600"/>
            <w:tcMar>
              <w:top w:type="dxa" w:w="80"/>
              <w:left w:type="dxa" w:w="100"/>
              <w:bottom w:type="dxa" w:w="80"/>
              <w:right w:type="dxa" w:w="80"/>
            </w:tcMar>
            <w:vAlign w:val="center"/>
          </w:tcPr>
          <w:p>
            <w:r>
              <w:rPr>
                <w:b/>
                <w:bCs/>
                <w:color w:val="0E2647"/>
                <w:sz w:val="13"/>
                <w:szCs w:val="13"/>
              </w:rPr>
              <w:t xml:space="preserve">&lt;0.1 CFU/მლ [1, 4]</w:t>
            </w:r>
          </w:p>
        </w:tc>
      </w:tr>
      <w:tr>
        <w:tc>
          <w:tcPr>
            <w:tcW w:type="dxa" w:w="2800"/>
            <w:tcMar>
              <w:top w:type="dxa" w:w="80"/>
              <w:left w:type="dxa" w:w="100"/>
              <w:bottom w:type="dxa" w:w="80"/>
              <w:right w:type="dxa" w:w="80"/>
            </w:tcMar>
            <w:vAlign w:val="center"/>
          </w:tcPr>
          <w:p>
            <w:r>
              <w:rPr>
                <w:b/>
                <w:bCs/>
                <w:sz w:val="14"/>
                <w:szCs w:val="14"/>
              </w:rPr>
              <w:t xml:space="preserve">ენდოტოქსინი (დიალიზატი)</w:t>
            </w:r>
          </w:p>
        </w:tc>
        <w:tc>
          <w:tcPr>
            <w:tcW w:type="dxa" w:w="2600"/>
            <w:tcMar>
              <w:top w:type="dxa" w:w="80"/>
              <w:left w:type="dxa" w:w="100"/>
              <w:bottom w:type="dxa" w:w="80"/>
              <w:right w:type="dxa" w:w="80"/>
            </w:tcMar>
            <w:vAlign w:val="center"/>
          </w:tcPr>
          <w:p>
            <w:r>
              <w:rPr>
                <w:b/>
                <w:bCs/>
                <w:color w:val="0E2647"/>
                <w:sz w:val="13"/>
                <w:szCs w:val="13"/>
              </w:rPr>
              <w:t xml:space="preserve">≤5 EU/მლ</w:t>
            </w:r>
          </w:p>
        </w:tc>
        <w:tc>
          <w:tcPr>
            <w:tcW w:type="dxa" w:w="2600"/>
            <w:tcMar>
              <w:top w:type="dxa" w:w="80"/>
              <w:left w:type="dxa" w:w="100"/>
              <w:bottom w:type="dxa" w:w="80"/>
              <w:right w:type="dxa" w:w="80"/>
            </w:tcMar>
            <w:vAlign w:val="center"/>
          </w:tcPr>
          <w:p>
            <w:r>
              <w:rPr>
                <w:b/>
                <w:bCs/>
                <w:color w:val="0E2647"/>
                <w:sz w:val="13"/>
                <w:szCs w:val="13"/>
              </w:rPr>
              <w:t xml:space="preserve">&lt;0.03 EU/მლ [1, 4]</w:t>
            </w:r>
          </w:p>
        </w:tc>
      </w:tr>
      <w:tr>
        <w:tc>
          <w:tcPr>
            <w:tcW w:type="dxa" w:w="2800"/>
            <w:tcMar>
              <w:top w:type="dxa" w:w="80"/>
              <w:left w:type="dxa" w:w="100"/>
              <w:bottom w:type="dxa" w:w="80"/>
              <w:right w:type="dxa" w:w="80"/>
            </w:tcMar>
            <w:vAlign w:val="center"/>
          </w:tcPr>
          <w:p>
            <w:r>
              <w:rPr>
                <w:b/>
                <w:bCs/>
                <w:sz w:val="14"/>
                <w:szCs w:val="14"/>
              </w:rPr>
              <w:t xml:space="preserve">ენდოტოქსინი (ჰემოფილტრაცია)</w:t>
            </w:r>
          </w:p>
        </w:tc>
        <w:tc>
          <w:tcPr>
            <w:tcW w:type="dxa" w:w="2600"/>
            <w:tcMar>
              <w:top w:type="dxa" w:w="80"/>
              <w:left w:type="dxa" w:w="100"/>
              <w:bottom w:type="dxa" w:w="80"/>
              <w:right w:type="dxa" w:w="80"/>
            </w:tcMar>
            <w:vAlign w:val="center"/>
          </w:tcPr>
          <w:p>
            <w:r>
              <w:rPr>
                <w:b/>
                <w:bCs/>
                <w:color w:val="0E2647"/>
                <w:sz w:val="13"/>
                <w:szCs w:val="13"/>
              </w:rPr>
              <w:t xml:space="preserve">არ ვრცელდება</w:t>
            </w:r>
          </w:p>
        </w:tc>
        <w:tc>
          <w:tcPr>
            <w:tcW w:type="dxa" w:w="2600"/>
            <w:tcMar>
              <w:top w:type="dxa" w:w="80"/>
              <w:left w:type="dxa" w:w="100"/>
              <w:bottom w:type="dxa" w:w="80"/>
              <w:right w:type="dxa" w:w="80"/>
            </w:tcMar>
            <w:vAlign w:val="center"/>
          </w:tcPr>
          <w:p>
            <w:r>
              <w:rPr>
                <w:b/>
                <w:bCs/>
                <w:color w:val="0E2647"/>
                <w:sz w:val="13"/>
                <w:szCs w:val="13"/>
              </w:rPr>
              <w:t xml:space="preserve">≤2.2 EU/მლ, უფრო მკაცრი, ვიდრე სტანდარტული HD [5]</w:t>
            </w:r>
          </w:p>
        </w:tc>
      </w:tr>
    </w:tbl>
    <w:p>
      <w:pPr>
        <w:pBdr>
          <w:left w:val="single" w:color="C9A227" w:sz="16" w:space="10"/>
        </w:pBdr>
        <w:shd w:fill="FFF8E7" w:val="clear"/>
        <w:spacing w:after="160" w:before="110"/>
      </w:pPr>
      <w:r>
        <w:rPr>
          <w:i/>
          <w:iCs/>
          <w:color w:val="5C4A0A"/>
          <w:sz w:val="18"/>
          <w:szCs w:val="18"/>
        </w:rPr>
        <w:t xml:space="preserve">[ORGANIZATION NAME]-ის სამიზნე ცალსახად დოკუმენტირებულია — სტანდარტული AAMI ან ულტრასუფთა — და მონიტორინგდება ამ განცხადებულ სამიზნესთან, არა გაურკვეველი „AAMI-შესაბამისობის“ განაცხადით, კონკრეტული რიცხვის მიმაგრების გარეშე.</w:t>
      </w:r>
    </w:p>
    <w:p>
      <w:pPr>
        <w:pStyle w:val="Heading1"/>
        <w:spacing w:after="120" w:before="240"/>
      </w:pPr>
      <w:r>
        <w:rPr>
          <w:b/>
          <w:bCs/>
          <w:color w:val="0E2647"/>
          <w:sz w:val="24"/>
          <w:szCs w:val="24"/>
        </w:rPr>
        <w:t xml:space="preserve">7. მონიტორინგის გრაფიკი</w:t>
      </w:r>
    </w:p>
    <w:p>
      <w:pPr>
        <w:spacing w:after="90" w:line="255"/>
        <w:ind w:left="340" w:hanging="340"/>
      </w:pPr>
      <w:r>
        <w:rPr>
          <w:b/>
          <w:bCs/>
          <w:color w:val="0E2647"/>
          <w:sz w:val="19"/>
          <w:szCs w:val="19"/>
        </w:rPr>
        <w:t xml:space="preserve">ნაბიჯი 1.  </w:t>
      </w:r>
      <w:r>
        <w:rPr>
          <w:sz w:val="19"/>
          <w:szCs w:val="19"/>
        </w:rPr>
        <w:t xml:space="preserve">ყოველთვიური მიკრობიოლოგიური (ბაქტერიული და ენდოტოქსინის) ტესტირება, რეალური National Kidney Foundation LAL ტესტირების სახელმძღვანელოს შესაბამისად [3]</w:t>
      </w:r>
    </w:p>
    <w:p>
      <w:pPr>
        <w:spacing w:after="90" w:line="255"/>
        <w:ind w:left="340" w:hanging="340"/>
      </w:pPr>
      <w:r>
        <w:rPr>
          <w:b/>
          <w:bCs/>
          <w:color w:val="0E2647"/>
          <w:sz w:val="19"/>
          <w:szCs w:val="19"/>
        </w:rPr>
        <w:t xml:space="preserve">ნაბიჯი 2.  </w:t>
      </w:r>
      <w:r>
        <w:rPr>
          <w:sz w:val="19"/>
          <w:szCs w:val="19"/>
        </w:rPr>
        <w:t xml:space="preserve">პიროგენული რეაქციის აფეთქებების რეალური, დოკუმენტირებული მიზეზი: AAMI ზღვრების გადამეტებული წყალი, გამოყენებული დიალიზატორების გასარეცხად ან დეზინფექტანტების მოსამზადებლად, ყველაზე ხშირად იმის გამო, რომ განაწილების სისტემა არ იყო საკმარისად ხშირად დეზინფიცირებული, დეზინფექტანტი არასწორად იყო მომზადებული, ან მიკრობული ანალიზები არასწორად ჩატარდა [6]</w:t>
      </w:r>
    </w:p>
    <w:p>
      <w:pPr>
        <w:spacing w:after="90" w:line="255"/>
        <w:ind w:left="340" w:hanging="340"/>
      </w:pPr>
      <w:r>
        <w:rPr>
          <w:b/>
          <w:bCs/>
          <w:color w:val="0E2647"/>
          <w:sz w:val="19"/>
          <w:szCs w:val="19"/>
        </w:rPr>
        <w:t xml:space="preserve">ნაბიჯი 3.  </w:t>
      </w:r>
      <w:r>
        <w:rPr>
          <w:sz w:val="19"/>
          <w:szCs w:val="19"/>
        </w:rPr>
        <w:t xml:space="preserve">ნებისმიერი შედეგი, რომელიც აღემატება AAMI ზღვარს, იწვევს დაზარალებული წყლის წყაროს გამოყენების დაუყოვნებელ შეწყვეტას — არა გაგრძელებულ გამოყენებას დამადასტურებელი ტესტირების მოლოდინში [4]</w:t>
      </w:r>
    </w:p>
    <w:p>
      <w:pPr>
        <w:pStyle w:val="Heading1"/>
        <w:spacing w:after="120" w:before="240"/>
      </w:pPr>
      <w:r>
        <w:rPr>
          <w:b/>
          <w:bCs/>
          <w:color w:val="0E2647"/>
          <w:sz w:val="24"/>
          <w:szCs w:val="24"/>
        </w:rPr>
        <w:t xml:space="preserve">8. საგანგებო წყლის მარაგი</w:t>
      </w:r>
    </w:p>
    <w:p>
      <w:pPr>
        <w:spacing w:after="110" w:line="260"/>
      </w:pPr>
      <w:r>
        <w:rPr>
          <w:sz w:val="20"/>
          <w:szCs w:val="20"/>
        </w:rPr>
        <w:t>სადაც საპირისპირო ოსმოსის სისტემა ჩავარდება, [ORGANIZATION NAME] ინარჩუნებს რეალურ სარეზერვო გეგმას: საკმარისი დაბოთლილი წყლის მარაგები და მომწოდებელთან შეთანხმება საგანგებო მიწოდებისთვის, ნებისმიერი ალტერნატიული წყლის წყაროთი, რომელიც აკმაყოფილებს იმავე რეალურ AAMI სტანდარტებს — არა უფრო დაბალ-ზღვრიან შემცვლელს [7]. ეს კოორდინირებულია H-CC-04-ის ბიზნესის უწყვეტობის დებულებებთან.</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ბიოფილმი, ჩამოყალიბებული მილსადენებში, ჭეშმარიტად ძნელი მოსაცილებელია რეგულარული დეზინფექციითაც კი და ხდება ენდოტოქსინის მუდმივი, გამუდმებული წყარო — პრევენცია თანმიმდევრული დეზინფექციით გაცილებით ეფექტურია, ვიდრე გამოსწორება ფაქტის შემდეგ [8]</w:t>
      </w:r>
    </w:p>
    <w:p>
      <w:pPr>
        <w:spacing w:after="70" w:line="245"/>
        <w:ind w:left="260" w:hanging="180"/>
      </w:pPr>
      <w:r>
        <w:rPr>
          <w:sz w:val="19"/>
          <w:szCs w:val="19"/>
        </w:rPr>
        <w:t>•  დიალიზატორის ხელახალი დამუშავების პროგრამა, თუ გამოიყენება (H-DIAL-03), მთლიანად დამოკიდებულია იმავე რეალური სტანდარტების დაკმაყოფილებულ წყალზე — წყლის ხარისხის ჩავარდნები არის დოკუმენტირებული, პირდაპირი მიზეზი ხელახალი დამუშავებასთან დაკავშირებული აფეთქებებისთვის [6]</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ყოველთვიური ტესტის შედეგები დოკუმენტირებულ სამიზნე სტანდარტში (მიზანი: 100%)</w:t>
      </w:r>
    </w:p>
    <w:p>
      <w:pPr>
        <w:spacing w:after="70" w:line="245"/>
        <w:ind w:left="260" w:hanging="180"/>
      </w:pPr>
      <w:r>
        <w:rPr>
          <w:sz w:val="19"/>
          <w:szCs w:val="19"/>
        </w:rPr>
        <w:t xml:space="preserve">•  დრო ზღვარს-გარეთ შედეგიდან მაკორექტირებელი ქმედების დაწყებამდე</w:t>
      </w:r>
    </w:p>
    <w:p>
      <w:pPr>
        <w:spacing w:after="70" w:line="245"/>
        <w:ind w:left="260" w:hanging="180"/>
      </w:pPr>
      <w:r>
        <w:rPr>
          <w:sz w:val="19"/>
          <w:szCs w:val="19"/>
        </w:rPr>
        <w:t xml:space="preserve">•  დეზინფექციის გრაფიკის დაცვა</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H-DIAL-03</w:t>
            </w:r>
          </w:p>
        </w:tc>
        <w:tc>
          <w:tcPr>
            <w:tcMar>
              <w:top w:type="dxa" w:w="70"/>
              <w:left w:type="dxa" w:w="100"/>
              <w:bottom w:type="dxa" w:w="70"/>
              <w:right w:type="dxa" w:w="90"/>
            </w:tcMar>
            <w:vAlign w:val="center"/>
          </w:tcPr>
          <w:p>
            <w:r>
              <w:rPr>
                <w:b w:val="false"/>
                <w:bCs w:val="false"/>
                <w:sz w:val="15"/>
                <w:szCs w:val="15"/>
              </w:rPr>
              <w:t xml:space="preserve">დიალიზატორის ხელახალი დამუშავება</w:t>
            </w:r>
          </w:p>
        </w:tc>
      </w:tr>
      <w:tr>
        <w:tc>
          <w:tcPr>
            <w:tcMar>
              <w:top w:type="dxa" w:w="70"/>
              <w:left w:type="dxa" w:w="100"/>
              <w:bottom w:type="dxa" w:w="70"/>
              <w:right w:type="dxa" w:w="90"/>
            </w:tcMar>
            <w:vAlign w:val="center"/>
          </w:tcPr>
          <w:p>
            <w:r>
              <w:rPr>
                <w:b/>
                <w:bCs/>
                <w:sz w:val="15"/>
                <w:szCs w:val="15"/>
              </w:rPr>
              <w:t>H-CC-04</w:t>
            </w:r>
          </w:p>
        </w:tc>
        <w:tc>
          <w:tcPr>
            <w:tcMar>
              <w:top w:type="dxa" w:w="70"/>
              <w:left w:type="dxa" w:w="100"/>
              <w:bottom w:type="dxa" w:w="70"/>
              <w:right w:type="dxa" w:w="90"/>
            </w:tcMar>
            <w:vAlign w:val="center"/>
          </w:tcPr>
          <w:p>
            <w:r>
              <w:rPr>
                <w:b w:val="false"/>
                <w:bCs w:val="false"/>
                <w:sz w:val="15"/>
                <w:szCs w:val="15"/>
              </w:rPr>
              <w:t xml:space="preserve">ბიზნესის უწყვეტობა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[დიალიზის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[ნეფროლოგის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Renal Fellow Network. Water Treatment for Hemodialysis — AAMI RD52, CMS მიღება, ულტრასუფთა სტანდარტი. 2020.</w:t>
      </w:r>
    </w:p>
    <w:p>
      <w:pPr>
        <w:spacing w:after="90" w:line="230"/>
        <w:ind w:left="320" w:hanging="320"/>
      </w:pPr>
      <w:r>
        <w:rPr>
          <w:b/>
          <w:bCs/>
          <w:color w:val="0E2647"/>
          <w:sz w:val="15"/>
          <w:szCs w:val="15"/>
        </w:rPr>
        <w:t xml:space="preserve">[2] </w:t>
      </w:r>
      <w:r>
        <w:rPr>
          <w:sz w:val="15"/>
          <w:szCs w:val="15"/>
        </w:rPr>
        <w:t xml:space="preserve">Healthcare Facility Hub. Dialysis Water Quality: AAMI Standards, RO System Design, and Microbiological Monitoring — უნიკალური პირდაპირი-სისხლის-ნაკადის-კონტაქტის რისკი. 2026.</w:t>
      </w:r>
    </w:p>
    <w:p>
      <w:pPr>
        <w:spacing w:after="90" w:line="230"/>
        <w:ind w:left="320" w:hanging="320"/>
      </w:pPr>
      <w:r>
        <w:rPr>
          <w:b/>
          <w:bCs/>
          <w:color w:val="0E2647"/>
          <w:sz w:val="15"/>
          <w:szCs w:val="15"/>
        </w:rPr>
        <w:t xml:space="preserve">[3] </w:t>
      </w:r>
      <w:r>
        <w:rPr>
          <w:sz w:val="15"/>
          <w:szCs w:val="15"/>
        </w:rPr>
        <w:t xml:space="preserve">USPTO პატენტი (Method for removing pyrogens from dialysate). წლიური ენდოტოქსინის/ბაქტერიის ზემოქმედების მასშტაბი, NKF LAL ტესტირების რეკომენდაცია.</w:t>
      </w:r>
    </w:p>
    <w:p>
      <w:pPr>
        <w:spacing w:after="90" w:line="230"/>
        <w:ind w:left="320" w:hanging="320"/>
      </w:pPr>
      <w:r>
        <w:rPr>
          <w:b/>
          <w:bCs/>
          <w:color w:val="0E2647"/>
          <w:sz w:val="15"/>
          <w:szCs w:val="15"/>
        </w:rPr>
        <w:t xml:space="preserve">[4] </w:t>
      </w:r>
      <w:r>
        <w:rPr>
          <w:sz w:val="15"/>
          <w:szCs w:val="15"/>
        </w:rPr>
        <w:t xml:space="preserve">USPTO პატენტი (Ultrasonic detection of bacteria). AAMI RD52 მრავალ-დონიანი ზღვრები.</w:t>
      </w:r>
    </w:p>
    <w:p>
      <w:pPr>
        <w:spacing w:after="90" w:line="230"/>
        <w:ind w:left="320" w:hanging="320"/>
      </w:pPr>
      <w:r>
        <w:rPr>
          <w:b/>
          <w:bCs/>
          <w:color w:val="0E2647"/>
          <w:sz w:val="15"/>
          <w:szCs w:val="15"/>
        </w:rPr>
        <w:t xml:space="preserve">[5] </w:t>
      </w:r>
      <w:r>
        <w:rPr>
          <w:sz w:val="15"/>
          <w:szCs w:val="15"/>
        </w:rPr>
        <w:t xml:space="preserve">Healthcare Facility Hub. Dialysis Water Quality — უფრო მკაცრი ჰემოფილტრაციის ენდოტოქსინის ზღვარი. 2026.</w:t>
      </w:r>
    </w:p>
    <w:p>
      <w:pPr>
        <w:spacing w:after="90" w:line="230"/>
        <w:ind w:left="320" w:hanging="320"/>
      </w:pPr>
      <w:r>
        <w:rPr>
          <w:b/>
          <w:bCs/>
          <w:color w:val="0E2647"/>
          <w:sz w:val="15"/>
          <w:szCs w:val="15"/>
        </w:rPr>
        <w:t xml:space="preserve">[6] </w:t>
      </w:r>
      <w:r>
        <w:rPr>
          <w:sz w:val="15"/>
          <w:szCs w:val="15"/>
        </w:rPr>
        <w:t xml:space="preserve">ScienceDirect. Hemodialysis-Associated Infections — დოკუმენტირებული პიროგენული რეაქციის აფეთქების მიზეზები.</w:t>
      </w:r>
    </w:p>
    <w:p>
      <w:pPr>
        <w:spacing w:after="90" w:line="230"/>
        <w:ind w:left="320" w:hanging="320"/>
      </w:pPr>
      <w:r>
        <w:rPr>
          <w:b/>
          <w:bCs/>
          <w:color w:val="0E2647"/>
          <w:sz w:val="15"/>
          <w:szCs w:val="15"/>
        </w:rPr>
        <w:t xml:space="preserve">[7] </w:t>
      </w:r>
      <w:r>
        <w:rPr>
          <w:sz w:val="15"/>
          <w:szCs w:val="15"/>
        </w:rPr>
        <w:t xml:space="preserve">Healthcare Facility Hub. Dialysis Water Quality — საგანგებო დაბოთლილი წყლის სარეზერვო გეგმა. 2026.</w:t>
      </w:r>
    </w:p>
    <w:p>
      <w:pPr>
        <w:spacing w:after="90" w:line="230"/>
        <w:ind w:left="320" w:hanging="320"/>
      </w:pPr>
      <w:r>
        <w:rPr>
          <w:b/>
          <w:bCs/>
          <w:color w:val="0E2647"/>
          <w:sz w:val="15"/>
          <w:szCs w:val="15"/>
        </w:rPr>
        <w:t xml:space="preserve">[8] </w:t>
      </w:r>
      <w:r>
        <w:rPr>
          <w:sz w:val="15"/>
          <w:szCs w:val="15"/>
        </w:rPr>
        <w:t xml:space="preserve">PMC. Microbiological Quality of Reverse Osmosis Water of a Dialysis Unit — ბიოფილმის მდგრადობა.</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[დიალიზის ხელმძღვანელის სახელი] · დამტკიცებულია: [ნეფროლოგის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H-DIAL-02-KA · წყლის დამუშავება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2026-09-14T20:21:04.231Z</dcterms:created>
  <dcterms:modified xsi:type="dcterms:W3CDTF">2026-09-14T20:21:04.241Z</dcterms:modified>
</cp:coreProperties>
</file>

<file path=docProps/custom.xml><?xml version="1.0" encoding="utf-8"?>
<Properties xmlns="http://schemas.openxmlformats.org/officeDocument/2006/custom-properties" xmlns:vt="http://schemas.openxmlformats.org/officeDocument/2006/docPropsVTypes"/>
</file>