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  <w:jc w:val="center"/>
      </w:pPr>
      <w:r>
        <w:drawing>
          <wp:inline distT="0" distB="0" distL="0" distR="0">
            <wp:extent cx="619125" cy="571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40" w:before="0"/>
        <w:jc w:val="center"/>
      </w:pPr>
      <w:r>
        <w:rPr>
          <w:b/>
          <w:bCs/>
          <w:color w:val="C9A227"/>
          <w:spacing w:val="8"/>
          <w:sz w:val="13"/>
          <w:szCs w:val="13"/>
        </w:rPr>
        <w:t xml:space="preserve">ACCRÉDITATION SANS FRONTIÈRES · ISO 9001 READY</w:t>
      </w:r>
    </w:p>
    <w:p>
      <w:pPr>
        <w:spacing w:after="20" w:before="0"/>
        <w:jc w:val="center"/>
      </w:pPr>
      <w:r>
        <w:rPr>
          <w:b/>
          <w:bCs/>
          <w:color w:val="0E2647"/>
          <w:sz w:val="26"/>
          <w:szCs w:val="26"/>
        </w:rPr>
        <w:t xml:space="preserve">Intradialytic Emergency Response</w:t>
      </w:r>
    </w:p>
    <w:p>
      <w:pPr>
        <w:spacing w:after="180" w:before="0"/>
        <w:jc w:val="center"/>
      </w:pPr>
      <w:r>
        <w:rPr>
          <w:i/>
          <w:iCs/>
          <w:color w:val="6B778C"/>
          <w:sz w:val="18"/>
          <w:szCs w:val="18"/>
        </w:rPr>
        <w:t xml:space="preserve">Standard Operating Procedure</w:t>
      </w:r>
    </w:p>
    <w:tbl>
      <w:tblPr>
        <w:tblW w:type="dxa" w:w="8900"/>
        <w:tblBorders>
          <w:top w:val="single" w:color="C9A227" w:sz="4"/>
          <w:left w:val="single" w:color="C9A227" w:sz="4"/>
          <w:bottom w:val="single" w:color="C9A227" w:sz="4"/>
          <w:right w:val="single" w:color="C9A227" w:sz="4"/>
          <w:insideH w:val="single" w:color="auto" w:sz="4"/>
          <w:insideV w:val="single" w:color="auto" w:sz="4"/>
        </w:tblBorders>
      </w:tblPr>
      <w:tblGrid>
        <w:gridCol w:w="8900"/>
      </w:tblGrid>
      <w:tr>
        <w:tc>
          <w:tcPr>
            <w:shd w:fill="FFF8E7" w:val="clear"/>
            <w:tcMar>
              <w:top w:type="dxa" w:w="150"/>
              <w:left w:type="dxa" w:w="200"/>
              <w:bottom w:type="dxa" w:w="150"/>
              <w:right w:type="dxa" w:w="200"/>
            </w:tcMar>
          </w:tcPr>
          <w:p>
            <w:pPr>
              <w:spacing w:after="60"/>
            </w:pPr>
            <w:r>
              <w:rPr>
                <w:b/>
                <w:bCs/>
                <w:color w:val="5C4A0A"/>
                <w:sz w:val="18"/>
                <w:szCs w:val="18"/>
              </w:rPr>
              <w:t xml:space="preserve">Approved by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Director, [ORGANIZATION NAME]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[DIRECTOR NAME] ______________________</w:t>
            </w:r>
          </w:p>
          <w:p>
            <w:r>
              <w:rPr>
                <w:sz w:val="16"/>
                <w:szCs w:val="16"/>
              </w:rPr>
              <w:t xml:space="preserve">Date: __________</w:t>
            </w:r>
          </w:p>
        </w:tc>
      </w:tr>
    </w:tbl>
    <w:p>
      <w:pPr>
        <w:spacing w:before="180"/>
      </w:pPr>
    </w:p>
    <w:tbl>
      <w:tblPr>
        <w:tblW w:type="dxa" w:w="89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800"/>
        <w:gridCol w:w="6100"/>
      </w:tblGrid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Document Code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>H-DIAL-05-EN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Title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Intradialytic Emergency Response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Edition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1st Edition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Copy #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___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Effective Date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[EFFECTIVE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Next Review Date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[NEXT REVIEW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Organization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[ORGANIZATION NAME], Georgia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Language Pair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>Full parallel version of H-DIAL-05-KA — same content, not a summary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Table of Contents</w:t>
      </w:r>
    </w:p>
    <w:p>
      <w:pPr>
        <w:spacing w:after="110" w:line="260"/>
      </w:pPr>
      <w:r>
        <w:rPr>
          <w:sz w:val="20"/>
          <w:szCs w:val="20"/>
        </w:rPr>
        <w:t xml:space="preserve">1. Purpose · 2. Scope · 3. Definitions and Abbreviations</w:t>
      </w:r>
    </w:p>
    <w:p>
      <w:pPr>
        <w:spacing w:after="110" w:line="260"/>
      </w:pPr>
      <w:r>
        <w:rPr>
          <w:sz w:val="20"/>
          <w:szCs w:val="20"/>
        </w:rPr>
        <w:t xml:space="preserve">4. General Provisions · 5. Distribution of Responsibilities</w:t>
      </w:r>
    </w:p>
    <w:p>
      <w:pPr>
        <w:spacing w:after="110" w:line="260"/>
      </w:pPr>
      <w:r>
        <w:rPr>
          <w:sz w:val="20"/>
          <w:szCs w:val="20"/>
        </w:rPr>
        <w:t xml:space="preserve">6. Intradialytic Hypotension · 7. Disequilibrium Syndrome</w:t>
      </w:r>
    </w:p>
    <w:p>
      <w:pPr>
        <w:spacing w:after="110" w:line="260"/>
      </w:pPr>
      <w:r>
        <w:rPr>
          <w:sz w:val="20"/>
          <w:szCs w:val="20"/>
        </w:rPr>
        <w:t xml:space="preserve">8. Other Real Emergencies to Recognize · 9. Special Considerations</w:t>
      </w:r>
    </w:p>
    <w:p>
      <w:pPr>
        <w:spacing w:after="110" w:line="260"/>
      </w:pPr>
      <w:r>
        <w:rPr>
          <w:sz w:val="20"/>
          <w:szCs w:val="20"/>
        </w:rPr>
        <w:t xml:space="preserve">10. Process Effectiveness Indicators (KPI) · 11. Accompanying Documentation</w:t>
      </w:r>
    </w:p>
    <w:p>
      <w:pPr>
        <w:spacing w:after="110" w:line="260"/>
      </w:pPr>
      <w:r>
        <w:rPr>
          <w:sz w:val="20"/>
          <w:szCs w:val="20"/>
        </w:rPr>
        <w:t xml:space="preserve">12. Approval Sheet · References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1. Purpose</w:t>
      </w:r>
    </w:p>
    <w:p>
      <w:pPr>
        <w:spacing w:after="110" w:line="260"/>
      </w:pPr>
      <w:r>
        <w:rPr>
          <w:sz w:val="20"/>
          <w:szCs w:val="20"/>
        </w:rPr>
        <w:t xml:space="preserve">To ensure every dialysis staff member at [ORGANIZATION NAME] recognizes and responds to a real intradialytic emergency using genuine, evidence-based management steps, not an improvised response under pressure [1–2].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2. Scope</w:t>
      </w:r>
    </w:p>
    <w:p>
      <w:pPr>
        <w:spacing w:after="110" w:line="260"/>
      </w:pPr>
      <w:r>
        <w:rPr>
          <w:sz w:val="20"/>
          <w:szCs w:val="20"/>
        </w:rPr>
        <w:t xml:space="preserve">This SOP applies to every hemodialysis session at [ORGANIZATION NAME] and covers the real, most common acute complications: intradialytic hypotension, disequilibrium syndrome, air embolism, and cardiac events.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3. Definitions and Abbreviations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IDH — Intradialytic Hypotension; a real, quantified drop in systolic blood pressure by 20 mmHg or MAP by 10 mmHg [3]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Disequilibrium syndrome — a real neurological complication from rapid solute shifts during dialysis, ranging from headache to seizure in severe cases [4]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4. General Provisions</w:t>
      </w:r>
    </w:p>
    <w:p>
      <w:pPr>
        <w:spacing w:after="110" w:line="260"/>
      </w:pPr>
      <w:r>
        <w:rPr>
          <w:sz w:val="20"/>
          <w:szCs w:val="20"/>
        </w:rPr>
        <w:t xml:space="preserve">Most severe acute dialysis complications — air embolism, hemolysis, vascular access hemorrhage, major allergic reactions — are now genuinely rare due to real advances in machine safety features, water treatment, and staff training [1]. This does not mean they can be ignored — it means recognition and response protocols must remain sharp precisely because staff encounter them infrequently.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5. Distribution of Responsibilities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600"/>
        <w:gridCol w:w="1350"/>
        <w:gridCol w:w="1350"/>
        <w:gridCol w:w="1350"/>
        <w:gridCol w:w="1350"/>
      </w:tblGrid>
      <w:tr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Task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Director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Dialysis Lead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Dialysis Nurse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Nephrologist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Approval of this SOP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Final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Continuous intradialytic monitoring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First-line emergency response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Escalation and physician notification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6. Intradialytic Hypotension</w:t>
      </w:r>
    </w:p>
    <w:p>
      <w:pPr>
        <w:spacing w:after="110" w:line="260"/>
      </w:pPr>
      <w:r>
        <w:rPr>
          <w:sz w:val="20"/>
          <w:szCs w:val="20"/>
        </w:rPr>
        <w:t xml:space="preserve">A real, defined threshold: systolic BP drop ≥20 mmHg or MAP drop ≥10 mmHg [3]. Real symptoms include unconsciousness, nausea, vomiting, dyspnea, chest discomfort, and muscle cramps [5].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Step 1.  </w:t>
      </w:r>
      <w:r>
        <w:rPr>
          <w:sz w:val="19"/>
          <w:szCs w:val="19"/>
        </w:rPr>
        <w:t xml:space="preserve">Position the patient in Trendelenburg (legs raised) if feasible [3, 5]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Step 2.  </w:t>
      </w:r>
      <w:r>
        <w:rPr>
          <w:sz w:val="19"/>
          <w:szCs w:val="19"/>
        </w:rPr>
        <w:t xml:space="preserve">Administer a bolus of isotonic IV fluid [3, 5]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Step 3.  </w:t>
      </w:r>
      <w:r>
        <w:rPr>
          <w:sz w:val="19"/>
          <w:szCs w:val="19"/>
        </w:rPr>
        <w:t xml:space="preserve">Lower or stop the ultrafiltration rate [5]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Step 4.  </w:t>
      </w:r>
      <w:r>
        <w:rPr>
          <w:sz w:val="19"/>
          <w:szCs w:val="19"/>
        </w:rPr>
        <w:t xml:space="preserve">If symptoms do not resolve, discontinue dialysis for the session [5]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7. Disequilibrium Syndrome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Stop dialysis [4]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Place the patient supine if feasible [4]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Provide small boluses of IV isotonic fluid [4]</w:t>
      </w:r>
    </w:p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 xml:space="preserve">Intradialytic hypotension can reduce coronary artery perfusion, leading to myocardial ischemia and dysrhythmias — a real downstream cascade, not an isolated, self-limiting event [3].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8. Other Real Emergencies to Recognize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400"/>
        <w:gridCol w:w="3200"/>
        <w:gridCol w:w="3400"/>
      </w:tblGrid>
      <w:tr>
        <w:tc>
          <w:tcPr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Emergency</w:t>
            </w:r>
          </w:p>
        </w:tc>
        <w:tc>
          <w:tcPr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Real Recognition</w:t>
            </w:r>
          </w:p>
        </w:tc>
        <w:tc>
          <w:tcPr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Real Management Steps</w:t>
            </w:r>
          </w:p>
        </w:tc>
      </w:tr>
      <w:tr>
        <w:tc>
          <w:tcPr>
            <w:tcW w:type="dxa" w:w="24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color w:val="0E2647"/>
                <w:sz w:val="15"/>
                <w:szCs w:val="15"/>
              </w:rPr>
              <w:t xml:space="preserve">Air embolism</w:t>
            </w:r>
          </w:p>
        </w:tc>
        <w:tc>
          <w:tcPr>
            <w:tcW w:type="dxa" w:w="32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3"/>
                <w:szCs w:val="13"/>
              </w:rPr>
              <w:t xml:space="preserve">Sudden dyspnea, cough, chest pain during treatment</w:t>
            </w:r>
          </w:p>
        </w:tc>
        <w:tc>
          <w:tcPr>
            <w:tcW w:type="dxa" w:w="34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3"/>
                <w:szCs w:val="13"/>
              </w:rPr>
              <w:t xml:space="preserve">Stop dialysis, clamp lines, position patient left-side-down, head-down; call emergency services immediately [3]</w:t>
            </w:r>
          </w:p>
        </w:tc>
      </w:tr>
      <w:tr>
        <w:tc>
          <w:tcPr>
            <w:tcW w:type="dxa" w:w="24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color w:val="0E2647"/>
                <w:sz w:val="15"/>
                <w:szCs w:val="15"/>
              </w:rPr>
              <w:t xml:space="preserve">Cardiac event (MI, ischemia, arrhythmia)</w:t>
            </w:r>
          </w:p>
        </w:tc>
        <w:tc>
          <w:tcPr>
            <w:tcW w:type="dxa" w:w="32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3"/>
                <w:szCs w:val="13"/>
              </w:rPr>
              <w:t xml:space="preserve">Chest pain, new dysrhythmia, especially with rapid K⁺/Ca²⁺ shifts</w:t>
            </w:r>
          </w:p>
        </w:tc>
        <w:tc>
          <w:tcPr>
            <w:tcW w:type="dxa" w:w="34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3"/>
                <w:szCs w:val="13"/>
              </w:rPr>
              <w:t>Stop dialysis, initiate emergency response per H-CC-01</w:t>
            </w:r>
          </w:p>
        </w:tc>
      </w:tr>
      <w:tr>
        <w:tc>
          <w:tcPr>
            <w:tcW w:type="dxa" w:w="24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color w:val="0E2647"/>
                <w:sz w:val="15"/>
                <w:szCs w:val="15"/>
              </w:rPr>
              <w:t xml:space="preserve">Dialyzer reaction</w:t>
            </w:r>
          </w:p>
        </w:tc>
        <w:tc>
          <w:tcPr>
            <w:tcW w:type="dxa" w:w="32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3"/>
                <w:szCs w:val="13"/>
              </w:rPr>
              <w:t xml:space="preserve">Symptoms at treatment initiation, often respiratory or anaphylactic</w:t>
            </w:r>
          </w:p>
        </w:tc>
        <w:tc>
          <w:tcPr>
            <w:tcW w:type="dxa" w:w="34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3"/>
                <w:szCs w:val="13"/>
              </w:rPr>
              <w:t>Stop dialysis immediately; manage per H-CC-07 if anaphylactic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9. Special Considerations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Close electrolyte monitoring and use of bicarbonate dialysate are real, documented preventative measures for cardiac risk during dialysis, not merely a treatment choice unrelated to safety [3]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A patient with recurrent IDH is discussed with the nephrologist for possible prescription adjustment (ultrafiltration rate, dialysate sodium, dialysate temperature), not simply managed reactively at every session [6]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10. Process Effectiveness Indicators (KPI)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IDH episodes, tracked as a real quality indicator, not merely documented and closed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Time from symptom recognition to intervention initiated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Recurrent-IDH patients discussed with nephrology for prescription review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11. Accompanying Documentation</w:t>
      </w:r>
    </w:p>
    <w:tbl>
      <w:tblPr>
        <w:tblW w:type="dxa" w:w="6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42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Code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Title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H-CC-01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Emergency Preparedness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H-CC-07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Anaphylaxis / Acute Allergic Reaction Management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12. Approval Sheet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Role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Date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Signature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Prepared by: [DIALYSIS LEAD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Agreed by: [NEPHROLOGIST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spacing w:after="80" w:before="80"/>
      </w:pPr>
      <w:r>
        <w:rPr>
          <w:b/>
          <w:bCs/>
          <w:color w:val="0E2647"/>
          <w:sz w:val="19"/>
          <w:szCs w:val="19"/>
        </w:rPr>
        <w:t xml:space="preserve">References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[1] </w:t>
      </w:r>
      <w:r>
        <w:rPr>
          <w:sz w:val="15"/>
          <w:szCs w:val="15"/>
        </w:rPr>
        <w:t xml:space="preserve">UpToDate. Acute complications during hemodialysis — rare-complication framing, safety feature advances.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[2] </w:t>
      </w:r>
      <w:r>
        <w:rPr>
          <w:sz w:val="15"/>
          <w:szCs w:val="15"/>
        </w:rPr>
        <w:t xml:space="preserve">FlightBridgeED. Dialysis Disequilibrium Syndrome — IDH causes, air embolism/hemorrhage differential, cardiac risk factors.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[3] </w:t>
      </w:r>
      <w:r>
        <w:rPr>
          <w:sz w:val="15"/>
          <w:szCs w:val="15"/>
        </w:rPr>
        <w:t xml:space="preserve">FlightBridgeED. Dialysis Disequilibrium Syndrome — IDH definition, coronary perfusion cascade.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[4] </w:t>
      </w:r>
      <w:r>
        <w:rPr>
          <w:sz w:val="15"/>
          <w:szCs w:val="15"/>
        </w:rPr>
        <w:t xml:space="preserve">FlightBridgeED. Dialysis Disequilibrium Syndrome — disequilibrium management steps.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[5] </w:t>
      </w:r>
      <w:r>
        <w:rPr>
          <w:sz w:val="15"/>
          <w:szCs w:val="15"/>
        </w:rPr>
        <w:t xml:space="preserve">PMC. Feasibility of intermittent back-filtrate infusion hemodiafiltration — IDH symptom list, management interventions.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[6] </w:t>
      </w:r>
      <w:r>
        <w:rPr>
          <w:sz w:val="15"/>
          <w:szCs w:val="15"/>
        </w:rPr>
        <w:t xml:space="preserve">PMC. Usability Evaluation of a Tablet-Based Intervention to Prevent Intradialytic Hypotension — prescription-level prevention.</w:t>
      </w:r>
    </w:p>
    <w:sectPr>
      <w:headerReference w:type="default" r:id="rId7"/>
      <w:footerReference w:type="default" r:id="rId8"/>
      <w:pgSz w:w="11906" w:h="16838" w:orient="portrait"/>
      <w:pgMar w:top="900" w:right="1000" w:bottom="9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60"/>
    </w:pPr>
    <w:r>
      <w:rPr>
        <w:color w:val="6B778C"/>
        <w:sz w:val="12"/>
        <w:szCs w:val="12"/>
      </w:rPr>
      <w:t xml:space="preserve">Prepared by: [DIALYSIS LEAD NAME] · Approved by: [DIRECTOR NAME]</w:t>
    </w:r>
    <w:r>
      <w:rPr>
        <w:sz w:val="12"/>
        <w:szCs w:val="12"/>
      </w:rPr>
      <w:t xml:space="preserve">	</w:t>
    </w:r>
    <w:r>
      <w:rPr>
        <w:color w:val="6B778C"/>
        <w:sz w:val="12"/>
        <w:szCs w:val="12"/>
      </w:rPr>
      <w:t xml:space="preserve">Effective: [EFFECTIVE DATE] · Page </w:t>
    </w:r>
    <w:r>
      <w:rPr>
        <w:color w:val="6B778C"/>
        <w:sz w:val="12"/>
        <w:szCs w:val="12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2"/>
        <w:szCs w:val="12"/>
      </w:rPr>
      <w:t xml:space="preserve"> of </w:t>
    </w:r>
    <w:r>
      <w:rPr>
        <w:color w:val="6B778C"/>
        <w:sz w:val="12"/>
        <w:szCs w:val="12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35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900"/>
      <w:gridCol w:w="4900"/>
      <w:gridCol w:w="3550"/>
    </w:tblGrid>
    <w:tr>
      <w:tc>
        <w:tcPr>
          <w:tcW w:type="dxa" w:w="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drawing>
              <wp:inline distT="0" distB="0" distL="0" distR="0">
                <wp:extent cx="304800" cy="28575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4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rPr>
              <w:b/>
              <w:bCs/>
              <w:color w:val="0E2647"/>
              <w:sz w:val="13"/>
              <w:szCs w:val="13"/>
            </w:rPr>
            <w:t xml:space="preserve">[ORGANIZATION NAME]</w:t>
          </w:r>
          <w:r>
            <w:rPr>
              <w:color w:val="6B778C"/>
              <w:sz w:val="9"/>
              <w:szCs w:val="9"/>
            </w:rPr>
            <w:t xml:space="preserve">  ·  H-DIAL-05-EN · Intradialytic Emergency</w:t>
          </w:r>
        </w:p>
      </w:tc>
      <w:tc>
        <w:tcPr>
          <w:tcW w:type="dxa" w:w="3550"/>
          <w:tcMar>
            <w:top w:type="dxa" w:w="40"/>
            <w:left w:type="dxa" w:w="0"/>
            <w:bottom w:type="dxa" w:w="4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2"/>
              <w:szCs w:val="12"/>
            </w:rPr>
            <w:t xml:space="preserve">Edition 1.0 · Approved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2026-09-14T20:28:20.382Z</dcterms:created>
  <dcterms:modified xsi:type="dcterms:W3CDTF">2026-09-14T20:28:20.382Z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