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Formal Patient Grievance Process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H-GRIEVANCE-01-EN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Formal Patient Grievance Process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Real Distinction from a Complaint · 5. The Written-Response Requirement · 6. Distribution of Responsibilities · 7. Accompanying Documentation · 8.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handles a formal patient grievance with the specific rigor it requires — H-CC-03 (Complaints Handling) covers general complaints resolved informally by staff present at the time; this document covers the real, distinct category of grievance that H-CC-03 was never built to handle.</w:t>
      </w:r>
    </w:p>
    <w:p>
      <w:pPr>
        <w:pStyle w:val="Heading1"/>
        <w:spacing w:after="120" w:before="240"/>
      </w:pPr>
      <w:r>
        <w:rPr>
          <w:b/>
          <w:bCs/>
          <w:color w:val="0E2647"/>
          <w:sz w:val="24"/>
          <w:szCs w:val="24"/>
        </w:rPr>
        <w:t xml:space="preserve">2. Scope</w:t>
      </w:r>
    </w:p>
    <w:p>
      <w:pPr>
        <w:spacing w:after="110" w:line="260"/>
      </w:pPr>
      <w:r>
        <w:rPr>
          <w:sz w:val="20"/>
          <w:szCs w:val="20"/>
        </w:rPr>
        <w:t xml:space="preserve">Applies to any patient or patient representative concern at [ORGANIZATION NAME] that meets the grievance definition in Section 4, whether submitted verbally or in writing.</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Grievance — a real, formal or informal complaint (verbal or written) regarding the patient's care, abuse, neglect, or [ORGANIZATION NAME]'s compliance with patient rights, that is not resolved at the time by the staff present</w:t>
      </w:r>
    </w:p>
    <w:p>
      <w:pPr>
        <w:pStyle w:val="Heading1"/>
        <w:spacing w:after="120" w:before="240"/>
      </w:pPr>
      <w:r>
        <w:rPr>
          <w:b/>
          <w:bCs/>
          <w:color w:val="0E2647"/>
          <w:sz w:val="24"/>
          <w:szCs w:val="24"/>
        </w:rPr>
        <w:t xml:space="preserve">4. Real Distinction from a Complaint</w:t>
      </w:r>
    </w:p>
    <w:p>
      <w:pPr>
        <w:pBdr>
          <w:left w:val="single" w:color="C0392B" w:sz="16" w:space="10"/>
        </w:pBdr>
        <w:shd w:fill="FDECEC" w:val="clear"/>
        <w:spacing w:after="160" w:before="110"/>
      </w:pPr>
      <w:r>
        <w:rPr>
          <w:b/>
          <w:bCs/>
          <w:i/>
          <w:iCs/>
          <w:color w:val="7B241C"/>
          <w:sz w:val="18"/>
          <w:szCs w:val="18"/>
        </w:rPr>
        <w:t xml:space="preserve">[ORGANIZATION NAME] treats a concern as a grievance — not a general complaint under H-CC-03 — whenever it is not resolved on the spot by the staff member present, when it involves an allegation of abuse or neglect regardless of resolution status, or when the patient requests formal follow-up rather than accepting an immediate informal response. A patient who is satisfied by an immediate correction from the staff member present has not filed a grievance; a patient who is not, has.</w:t>
      </w:r>
    </w:p>
    <w:p>
      <w:pPr>
        <w:pStyle w:val="Heading1"/>
        <w:spacing w:after="120" w:before="240"/>
      </w:pPr>
      <w:r>
        <w:rPr>
          <w:b/>
          <w:bCs/>
          <w:color w:val="0E2647"/>
          <w:sz w:val="24"/>
          <w:szCs w:val="24"/>
        </w:rPr>
        <w:t xml:space="preserve">5. The Written-Response Requirement</w:t>
      </w:r>
    </w:p>
    <w:p>
      <w:pPr>
        <w:spacing w:after="110" w:line="260"/>
      </w:pPr>
      <w:r>
        <w:rPr>
          <w:sz w:val="20"/>
          <w:szCs w:val="20"/>
        </w:rPr>
        <w:t xml:space="preserve">Every real grievance receives a real, written response within [ORGANIZATION NAME]'s defined timeframe, addressing the steps taken to investigate, the results of the investigation, and the completion date — not a form acknowledgment that the grievance was received. This written-response obligation is what genuinely distinguishes a grievance from a complaint, and is not satisfied by the verbal resolution that closes an ordinary complaint under H-CC-03.</w:t>
      </w:r>
    </w:p>
    <w:p>
      <w:pPr>
        <w:pStyle w:val="Heading1"/>
        <w:spacing w:after="120" w:before="240"/>
      </w:pPr>
      <w:r>
        <w:rPr>
          <w:b/>
          <w:bCs/>
          <w:color w:val="0E2647"/>
          <w:sz w:val="24"/>
          <w:szCs w:val="24"/>
        </w:rPr>
        <w:t xml:space="preserve">6.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Patient Advocate/Grievance Officer</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Grievance intake and classification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Investigation and written response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7.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H-GRIEVANCE-01-F01</w:t>
            </w:r>
          </w:p>
        </w:tc>
        <w:tc>
          <w:tcPr>
            <w:tcMar>
              <w:top w:type="dxa" w:w="70"/>
              <w:left w:type="dxa" w:w="100"/>
              <w:bottom w:type="dxa" w:w="70"/>
              <w:right w:type="dxa" w:w="90"/>
            </w:tcMar>
            <w:vAlign w:val="center"/>
          </w:tcPr>
          <w:p>
            <w:r>
              <w:rPr>
                <w:b w:val="false"/>
                <w:bCs w:val="false"/>
                <w:sz w:val="15"/>
                <w:szCs w:val="15"/>
              </w:rPr>
              <w:t xml:space="preserve">Formal Grievance Investigation &amp; Written Response Record</w:t>
            </w:r>
          </w:p>
        </w:tc>
      </w:tr>
      <w:tr>
        <w:tc>
          <w:tcPr>
            <w:tcMar>
              <w:top w:type="dxa" w:w="70"/>
              <w:left w:type="dxa" w:w="100"/>
              <w:bottom w:type="dxa" w:w="70"/>
              <w:right w:type="dxa" w:w="90"/>
            </w:tcMar>
            <w:vAlign w:val="center"/>
          </w:tcPr>
          <w:p>
            <w:r>
              <w:rPr>
                <w:b/>
                <w:bCs/>
                <w:sz w:val="15"/>
                <w:szCs w:val="15"/>
              </w:rPr>
              <w:t xml:space="preserve">H-CC-03</w:t>
            </w:r>
          </w:p>
        </w:tc>
        <w:tc>
          <w:tcPr>
            <w:tcMar>
              <w:top w:type="dxa" w:w="70"/>
              <w:left w:type="dxa" w:w="100"/>
              <w:bottom w:type="dxa" w:w="70"/>
              <w:right w:type="dxa" w:w="90"/>
            </w:tcMar>
            <w:vAlign w:val="center"/>
          </w:tcPr>
          <w:p>
            <w:r>
              <w:rPr>
                <w:b w:val="false"/>
                <w:bCs w:val="false"/>
                <w:sz w:val="15"/>
                <w:szCs w:val="15"/>
              </w:rPr>
              <w:t xml:space="preserve">Complaints Handling</w:t>
            </w:r>
          </w:p>
        </w:tc>
      </w:tr>
      <w:tr>
        <w:tc>
          <w:tcPr>
            <w:tcMar>
              <w:top w:type="dxa" w:w="70"/>
              <w:left w:type="dxa" w:w="100"/>
              <w:bottom w:type="dxa" w:w="70"/>
              <w:right w:type="dxa" w:w="90"/>
            </w:tcMar>
            <w:vAlign w:val="center"/>
          </w:tcPr>
          <w:p>
            <w:r>
              <w:rPr>
                <w:b/>
                <w:bCs/>
                <w:sz w:val="15"/>
                <w:szCs w:val="15"/>
              </w:rPr>
              <w:t xml:space="preserve">H-PR-01</w:t>
            </w:r>
          </w:p>
        </w:tc>
        <w:tc>
          <w:tcPr>
            <w:tcMar>
              <w:top w:type="dxa" w:w="70"/>
              <w:left w:type="dxa" w:w="100"/>
              <w:bottom w:type="dxa" w:w="70"/>
              <w:right w:type="dxa" w:w="90"/>
            </w:tcMar>
            <w:vAlign w:val="center"/>
          </w:tcPr>
          <w:p>
            <w:r>
              <w:rPr>
                <w:b w:val="false"/>
                <w:bCs w:val="false"/>
                <w:sz w:val="15"/>
                <w:szCs w:val="15"/>
              </w:rPr>
              <w:t xml:space="preserve">Patient Rights &amp; Responsibilities</w:t>
            </w:r>
          </w:p>
        </w:tc>
      </w:tr>
    </w:tbl>
    <w:p>
      <w:pPr>
        <w:pStyle w:val="Heading1"/>
        <w:spacing w:after="120" w:before="240"/>
      </w:pPr>
      <w:r>
        <w:rPr>
          <w:b/>
          <w:bCs/>
          <w:color w:val="0E2647"/>
          <w:sz w:val="24"/>
          <w:szCs w:val="24"/>
        </w:rPr>
        <w:t xml:space="preserve">8.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This document reflects the widely-recognized distinction, established in hospital regulatory practice, between an informally-resolved complaint and a formal grievance requiring written response — [ORGANIZATION NAME] confirms the specific written-response timeframe required in each jurisdiction in which it operates with local legal counsel, consistent with H-GOV-11's Regulatory Crosswalk approach.</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H-GRIEVANCE-01-EN · Patient Grievance Process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2026-09-15T03:46:38.308Z</dcterms:created>
  <dcterms:modified xsi:type="dcterms:W3CDTF">2026-09-15T03:46:38.308Z</dcterms:modified>
</cp:coreProperties>
</file>

<file path=docProps/custom.xml><?xml version="1.0" encoding="utf-8"?>
<Properties xmlns="http://schemas.openxmlformats.org/officeDocument/2006/custom-properties" xmlns:vt="http://schemas.openxmlformats.org/officeDocument/2006/docPropsVTypes"/>
</file>