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8"/>
          <w:szCs w:val="28"/>
        </w:rPr>
        <w:t xml:space="preserve">Personal Protective Equipment</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H-IPC-03-EN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Personal Protective Equipment</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H-IPC-03-KA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PPE Selection by Task · 7. Donning Sequence</w:t>
      </w:r>
    </w:p>
    <w:p>
      <w:pPr>
        <w:spacing w:after="110" w:line="260"/>
      </w:pPr>
      <w:r>
        <w:rPr>
          <w:b w:val="false"/>
          <w:bCs w:val="false"/>
          <w:i w:val="false"/>
          <w:iCs w:val="false"/>
          <w:sz w:val="20"/>
          <w:szCs w:val="20"/>
        </w:rPr>
        <w:t xml:space="preserve">8. Doffing Sequence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Personal Protective Equipment (PPE) is correctly selected, applied (donned), and removed (doffed) to protect staff and patients from the transmission of infectious agents, consistent with CDC and OSHA requirements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staff member at [ORGANIZATION NAME] performing any task where exposure to blood, body fluids, or infectious material is reasonably anticipated — including general consultation, the laboratory/draw station, the oncology treatment area, and pediatric procedures.</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PPE — Personal Protective Equipment: gloves, gowns, masks/respirators, eye protection, face shields</w:t>
      </w:r>
    </w:p>
    <w:p>
      <w:pPr>
        <w:spacing w:after="70" w:line="245"/>
        <w:ind w:left="260" w:hanging="180"/>
      </w:pPr>
      <w:r>
        <w:rPr>
          <w:sz w:val="19"/>
          <w:szCs w:val="19"/>
        </w:rPr>
        <w:t xml:space="preserve">•  Donning — putting on PPE, before patient contact</w:t>
      </w:r>
    </w:p>
    <w:p>
      <w:pPr>
        <w:spacing w:after="70" w:line="245"/>
        <w:ind w:left="260" w:hanging="180"/>
      </w:pPr>
      <w:r>
        <w:rPr>
          <w:sz w:val="19"/>
          <w:szCs w:val="19"/>
        </w:rPr>
        <w:t xml:space="preserve">•  Doffing — removing PPE, immediately after the task, in a sequence that avoids self-contamination</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Under OSHA standard 29 CFR 1910.132, [ORGANIZATION NAME] has assessed the workplace for hazards requiring PPE, and this assessment is documented and reviewed at least annually [2]. PPE is selected based on the anticipated exposure of the specific task being performed — not worn as a blanket default, and not omitted because a task “usually” doesn't involve exposure.</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Infection Control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Workplace hazard assessment (OSHA 1910.132)</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PPE stock and integrity checks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Correct donning/doffing, every task</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Compliance monitoring/audit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Informed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PPE Selection by Task</w:t>
      </w:r>
    </w:p>
    <w:p>
      <w:pPr>
        <w:spacing w:after="110" w:line="260"/>
      </w:pPr>
      <w:r>
        <w:rPr>
          <w:b w:val="false"/>
          <w:bCs w:val="false"/>
          <w:i w:val="false"/>
          <w:iCs w:val="false"/>
          <w:sz w:val="20"/>
          <w:szCs w:val="20"/>
        </w:rPr>
        <w:t xml:space="preserve">PPE is selected based on the genuine, anticipated exposure of the specific task — not a fixed default for every interaction.</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3600"/>
        <w:gridCol w:w="3600"/>
      </w:tblGrid>
      <w:tr>
        <w:tc>
          <w:tcPr>
            <w:shd w:fill="0E2647" w:val="clear"/>
            <w:tcMar>
              <w:top w:type="dxa" w:w="80"/>
              <w:left w:type="dxa" w:w="100"/>
              <w:bottom w:type="dxa" w:w="80"/>
              <w:right w:type="dxa" w:w="80"/>
            </w:tcMar>
          </w:tcPr>
          <w:p>
            <w:r>
              <w:rPr>
                <w:b/>
                <w:bCs/>
                <w:color w:val="FFFFFF"/>
                <w:sz w:val="14"/>
                <w:szCs w:val="14"/>
              </w:rPr>
              <w:t xml:space="preserve">PPE Item</w:t>
            </w:r>
          </w:p>
        </w:tc>
        <w:tc>
          <w:tcPr>
            <w:shd w:fill="0E2647" w:val="clear"/>
            <w:tcMar>
              <w:top w:type="dxa" w:w="80"/>
              <w:left w:type="dxa" w:w="100"/>
              <w:bottom w:type="dxa" w:w="80"/>
              <w:right w:type="dxa" w:w="80"/>
            </w:tcMar>
          </w:tcPr>
          <w:p>
            <w:r>
              <w:rPr>
                <w:b/>
                <w:bCs/>
                <w:color w:val="FFFFFF"/>
                <w:sz w:val="14"/>
                <w:szCs w:val="14"/>
              </w:rPr>
              <w:t xml:space="preserve">When Required</w:t>
            </w:r>
          </w:p>
        </w:tc>
        <w:tc>
          <w:tcPr>
            <w:shd w:fill="0E2647" w:val="clear"/>
            <w:tcMar>
              <w:top w:type="dxa" w:w="80"/>
              <w:left w:type="dxa" w:w="100"/>
              <w:bottom w:type="dxa" w:w="80"/>
              <w:right w:type="dxa" w:w="80"/>
            </w:tcMar>
          </w:tcPr>
          <w:p>
            <w:r>
              <w:rPr>
                <w:b/>
                <w:bCs/>
                <w:color w:val="FFFFFF"/>
                <w:sz w:val="14"/>
                <w:szCs w:val="14"/>
              </w:rPr>
              <w:t xml:space="preserve">Notes</w:t>
            </w:r>
          </w:p>
        </w:tc>
      </w:tr>
      <w:tr>
        <w:tc>
          <w:tcPr>
            <w:tcW w:type="dxa" w:w="1800"/>
            <w:tcMar>
              <w:top w:type="dxa" w:w="80"/>
              <w:left w:type="dxa" w:w="100"/>
              <w:bottom w:type="dxa" w:w="80"/>
              <w:right w:type="dxa" w:w="80"/>
            </w:tcMar>
            <w:vAlign w:val="center"/>
          </w:tcPr>
          <w:p>
            <w:r>
              <w:rPr>
                <w:b/>
                <w:bCs/>
                <w:sz w:val="15"/>
                <w:szCs w:val="15"/>
              </w:rPr>
              <w:t xml:space="preserve">Gloves</w:t>
            </w:r>
          </w:p>
        </w:tc>
        <w:tc>
          <w:tcPr>
            <w:tcW w:type="dxa" w:w="3600"/>
            <w:tcMar>
              <w:top w:type="dxa" w:w="80"/>
              <w:left w:type="dxa" w:w="100"/>
              <w:bottom w:type="dxa" w:w="80"/>
              <w:right w:type="dxa" w:w="80"/>
            </w:tcMar>
            <w:vAlign w:val="center"/>
          </w:tcPr>
          <w:p>
            <w:r>
              <w:rPr>
                <w:sz w:val="14"/>
                <w:szCs w:val="14"/>
              </w:rPr>
              <w:t xml:space="preserve">Any contact with blood, body fluid, mucous membranes, or non-intact skin</w:t>
            </w:r>
          </w:p>
        </w:tc>
        <w:tc>
          <w:tcPr>
            <w:tcW w:type="dxa" w:w="3600"/>
            <w:tcMar>
              <w:top w:type="dxa" w:w="80"/>
              <w:left w:type="dxa" w:w="100"/>
              <w:bottom w:type="dxa" w:w="80"/>
              <w:right w:type="dxa" w:w="80"/>
            </w:tcMar>
            <w:vAlign w:val="center"/>
          </w:tcPr>
          <w:p>
            <w:r>
              <w:rPr>
                <w:sz w:val="13"/>
                <w:szCs w:val="13"/>
              </w:rPr>
              <w:t>Remove jewelry first (see H-IPC-02); check for tears before donning [3]</w:t>
            </w:r>
          </w:p>
        </w:tc>
      </w:tr>
      <w:tr>
        <w:tc>
          <w:tcPr>
            <w:tcW w:type="dxa" w:w="1800"/>
            <w:tcMar>
              <w:top w:type="dxa" w:w="80"/>
              <w:left w:type="dxa" w:w="100"/>
              <w:bottom w:type="dxa" w:w="80"/>
              <w:right w:type="dxa" w:w="80"/>
            </w:tcMar>
            <w:vAlign w:val="center"/>
          </w:tcPr>
          <w:p>
            <w:r>
              <w:rPr>
                <w:b/>
                <w:bCs/>
                <w:sz w:val="15"/>
                <w:szCs w:val="15"/>
              </w:rPr>
              <w:t xml:space="preserve">Gown</w:t>
            </w:r>
          </w:p>
        </w:tc>
        <w:tc>
          <w:tcPr>
            <w:tcW w:type="dxa" w:w="3600"/>
            <w:tcMar>
              <w:top w:type="dxa" w:w="80"/>
              <w:left w:type="dxa" w:w="100"/>
              <w:bottom w:type="dxa" w:w="80"/>
              <w:right w:type="dxa" w:w="80"/>
            </w:tcMar>
            <w:vAlign w:val="center"/>
          </w:tcPr>
          <w:p>
            <w:r>
              <w:rPr>
                <w:sz w:val="14"/>
                <w:szCs w:val="14"/>
              </w:rPr>
              <w:t xml:space="preserve">Procedures where splashes, sprays, or clothing contact with body fluid are anticipated</w:t>
            </w:r>
          </w:p>
        </w:tc>
        <w:tc>
          <w:tcPr>
            <w:tcW w:type="dxa" w:w="3600"/>
            <w:tcMar>
              <w:top w:type="dxa" w:w="80"/>
              <w:left w:type="dxa" w:w="100"/>
              <w:bottom w:type="dxa" w:w="80"/>
              <w:right w:type="dxa" w:w="80"/>
            </w:tcMar>
            <w:vAlign w:val="center"/>
          </w:tcPr>
          <w:p>
            <w:r>
              <w:rPr>
                <w:sz w:val="13"/>
                <w:szCs w:val="13"/>
              </w:rPr>
              <w:t xml:space="preserve">Covers torso to knees, sleeves to wrist [4]</w:t>
            </w:r>
          </w:p>
        </w:tc>
      </w:tr>
      <w:tr>
        <w:tc>
          <w:tcPr>
            <w:tcW w:type="dxa" w:w="1800"/>
            <w:tcMar>
              <w:top w:type="dxa" w:w="80"/>
              <w:left w:type="dxa" w:w="100"/>
              <w:bottom w:type="dxa" w:w="80"/>
              <w:right w:type="dxa" w:w="80"/>
            </w:tcMar>
            <w:vAlign w:val="center"/>
          </w:tcPr>
          <w:p>
            <w:r>
              <w:rPr>
                <w:b/>
                <w:bCs/>
                <w:sz w:val="15"/>
                <w:szCs w:val="15"/>
              </w:rPr>
              <w:t xml:space="preserve">Mask / respirator</w:t>
            </w:r>
          </w:p>
        </w:tc>
        <w:tc>
          <w:tcPr>
            <w:tcW w:type="dxa" w:w="3600"/>
            <w:tcMar>
              <w:top w:type="dxa" w:w="80"/>
              <w:left w:type="dxa" w:w="100"/>
              <w:bottom w:type="dxa" w:w="80"/>
              <w:right w:type="dxa" w:w="80"/>
            </w:tcMar>
            <w:vAlign w:val="center"/>
          </w:tcPr>
          <w:p>
            <w:r>
              <w:rPr>
                <w:sz w:val="14"/>
                <w:szCs w:val="14"/>
              </w:rPr>
              <w:t xml:space="preserve">Procedures generating splashes, sprays, or where airborne precautions apply</w:t>
            </w:r>
          </w:p>
        </w:tc>
        <w:tc>
          <w:tcPr>
            <w:tcW w:type="dxa" w:w="3600"/>
            <w:tcMar>
              <w:top w:type="dxa" w:w="80"/>
              <w:left w:type="dxa" w:w="100"/>
              <w:bottom w:type="dxa" w:w="80"/>
              <w:right w:type="dxa" w:w="80"/>
            </w:tcMar>
            <w:vAlign w:val="center"/>
          </w:tcPr>
          <w:p>
            <w:r>
              <w:rPr>
                <w:sz w:val="13"/>
                <w:szCs w:val="13"/>
              </w:rPr>
              <w:t xml:space="preserve">Fit snug to face and below chin; secure nose bridge [3–4]</w:t>
            </w:r>
          </w:p>
        </w:tc>
      </w:tr>
      <w:tr>
        <w:tc>
          <w:tcPr>
            <w:tcW w:type="dxa" w:w="1800"/>
            <w:tcMar>
              <w:top w:type="dxa" w:w="80"/>
              <w:left w:type="dxa" w:w="100"/>
              <w:bottom w:type="dxa" w:w="80"/>
              <w:right w:type="dxa" w:w="80"/>
            </w:tcMar>
            <w:vAlign w:val="center"/>
          </w:tcPr>
          <w:p>
            <w:r>
              <w:rPr>
                <w:b/>
                <w:bCs/>
                <w:sz w:val="15"/>
                <w:szCs w:val="15"/>
              </w:rPr>
              <w:t xml:space="preserve">Eye protection / face shield</w:t>
            </w:r>
          </w:p>
        </w:tc>
        <w:tc>
          <w:tcPr>
            <w:tcW w:type="dxa" w:w="3600"/>
            <w:tcMar>
              <w:top w:type="dxa" w:w="80"/>
              <w:left w:type="dxa" w:w="100"/>
              <w:bottom w:type="dxa" w:w="80"/>
              <w:right w:type="dxa" w:w="80"/>
            </w:tcMar>
            <w:vAlign w:val="center"/>
          </w:tcPr>
          <w:p>
            <w:r>
              <w:rPr>
                <w:sz w:val="14"/>
                <w:szCs w:val="14"/>
              </w:rPr>
              <w:t xml:space="preserve">Any procedure with splash or spray risk to the eyes</w:t>
            </w:r>
          </w:p>
        </w:tc>
        <w:tc>
          <w:tcPr>
            <w:tcW w:type="dxa" w:w="3600"/>
            <w:tcMar>
              <w:top w:type="dxa" w:w="80"/>
              <w:left w:type="dxa" w:w="100"/>
              <w:bottom w:type="dxa" w:w="80"/>
              <w:right w:type="dxa" w:w="80"/>
            </w:tcMar>
            <w:vAlign w:val="center"/>
          </w:tcPr>
          <w:p>
            <w:r>
              <w:rPr>
                <w:sz w:val="13"/>
                <w:szCs w:val="13"/>
              </w:rPr>
              <w:t xml:space="preserve">Selected so it does not interfere with a respirator's seal, if both are worn [4]</w:t>
            </w:r>
          </w:p>
        </w:tc>
      </w:tr>
    </w:tbl>
    <w:p>
      <w:pPr>
        <w:pBdr>
          <w:left w:val="single" w:color="C9A227" w:sz="16" w:space="10"/>
        </w:pBdr>
        <w:shd w:fill="FFF8E7" w:val="clear"/>
        <w:spacing w:after="160" w:before="110"/>
      </w:pPr>
      <w:r>
        <w:rPr>
          <w:i/>
          <w:iCs/>
          <w:color w:val="5C4A0A"/>
          <w:sz w:val="18"/>
          <w:szCs w:val="18"/>
        </w:rPr>
        <w:t xml:space="preserve">In the oncology treatment area, glove and gown selection follows the stricter USP &lt;800&gt; requirements for hazardous drug handling (see Tier 5, Hazardous Drug Handling &amp; Safety SOP) — not the standard PPE listed above.</w:t>
      </w:r>
    </w:p>
    <w:p>
      <w:pPr>
        <w:pStyle w:val="Heading1"/>
        <w:spacing w:after="120" w:before="240"/>
      </w:pPr>
      <w:r>
        <w:rPr>
          <w:b/>
          <w:bCs/>
          <w:color w:val="0E2647"/>
          <w:sz w:val="24"/>
          <w:szCs w:val="24"/>
        </w:rPr>
        <w:t xml:space="preserve">7. Donning Sequence</w:t>
      </w:r>
    </w:p>
    <w:p>
      <w:pPr>
        <w:spacing w:after="110" w:line="260"/>
      </w:pPr>
      <w:r>
        <w:rPr>
          <w:b w:val="false"/>
          <w:bCs w:val="false"/>
          <w:i w:val="false"/>
          <w:iCs w:val="false"/>
          <w:sz w:val="20"/>
          <w:szCs w:val="20"/>
        </w:rPr>
        <w:t>Perform hand hygiene (H-IPC-02) before donning any PPE. Check every item for tears or defects before use [3].</w:t>
      </w:r>
    </w:p>
    <w:p>
      <w:pPr>
        <w:spacing w:after="90" w:line="255"/>
        <w:ind w:left="340" w:hanging="340"/>
      </w:pPr>
      <w:r>
        <w:rPr>
          <w:b/>
          <w:bCs/>
          <w:color w:val="0E2647"/>
          <w:sz w:val="19"/>
          <w:szCs w:val="19"/>
        </w:rPr>
        <w:t xml:space="preserve">Step 1.  </w:t>
      </w:r>
      <w:r>
        <w:rPr>
          <w:sz w:val="19"/>
          <w:szCs w:val="19"/>
        </w:rPr>
        <w:t xml:space="preserve">Put on the gown, fastening it at the back</w:t>
      </w:r>
    </w:p>
    <w:p>
      <w:pPr>
        <w:spacing w:after="90" w:line="255"/>
        <w:ind w:left="340" w:hanging="340"/>
      </w:pPr>
      <w:r>
        <w:rPr>
          <w:b/>
          <w:bCs/>
          <w:color w:val="0E2647"/>
          <w:sz w:val="19"/>
          <w:szCs w:val="19"/>
        </w:rPr>
        <w:t xml:space="preserve">Step 2.  </w:t>
      </w:r>
      <w:r>
        <w:rPr>
          <w:sz w:val="19"/>
          <w:szCs w:val="19"/>
        </w:rPr>
        <w:t xml:space="preserve">Put on the mask or respirator, fitting it snugly to the face and below the chin</w:t>
      </w:r>
    </w:p>
    <w:p>
      <w:pPr>
        <w:spacing w:after="90" w:line="255"/>
        <w:ind w:left="340" w:hanging="340"/>
      </w:pPr>
      <w:r>
        <w:rPr>
          <w:b/>
          <w:bCs/>
          <w:color w:val="0E2647"/>
          <w:sz w:val="19"/>
          <w:szCs w:val="19"/>
        </w:rPr>
        <w:t xml:space="preserve">Step 3.  </w:t>
      </w:r>
      <w:r>
        <w:rPr>
          <w:sz w:val="19"/>
          <w:szCs w:val="19"/>
        </w:rPr>
        <w:t xml:space="preserve">Put on eye protection or a face shield</w:t>
      </w:r>
    </w:p>
    <w:p>
      <w:pPr>
        <w:spacing w:after="90" w:line="255"/>
        <w:ind w:left="340" w:hanging="340"/>
      </w:pPr>
      <w:r>
        <w:rPr>
          <w:b/>
          <w:bCs/>
          <w:color w:val="0E2647"/>
          <w:sz w:val="19"/>
          <w:szCs w:val="19"/>
        </w:rPr>
        <w:t xml:space="preserve">Step 4.  </w:t>
      </w:r>
      <w:r>
        <w:rPr>
          <w:sz w:val="19"/>
          <w:szCs w:val="19"/>
        </w:rPr>
        <w:t xml:space="preserve">Put on gloves last, extending them to cover the gown's cuff [4–5]</w:t>
      </w:r>
    </w:p>
    <w:p>
      <w:pPr>
        <w:pStyle w:val="Heading1"/>
        <w:spacing w:after="120" w:before="240"/>
      </w:pPr>
      <w:r>
        <w:rPr>
          <w:b/>
          <w:bCs/>
          <w:color w:val="0E2647"/>
          <w:sz w:val="24"/>
          <w:szCs w:val="24"/>
        </w:rPr>
        <w:t xml:space="preserve">8. Doffing Sequence</w:t>
      </w:r>
    </w:p>
    <w:p>
      <w:pPr>
        <w:spacing w:after="110" w:line="260"/>
      </w:pPr>
      <w:r>
        <w:rPr>
          <w:b w:val="false"/>
          <w:bCs w:val="false"/>
          <w:i w:val="false"/>
          <w:iCs w:val="false"/>
          <w:sz w:val="20"/>
          <w:szCs w:val="20"/>
        </w:rPr>
        <w:t xml:space="preserve">PPE is removed in the reverse order of donning, since the face must remain protected until the very last step. A simple memory aid: Gloves, Goggles, Gown, Mask [3, 6].</w:t>
      </w:r>
    </w:p>
    <w:p>
      <w:pPr>
        <w:spacing w:after="90" w:line="255"/>
        <w:ind w:left="340" w:hanging="340"/>
      </w:pPr>
      <w:r>
        <w:rPr>
          <w:b/>
          <w:bCs/>
          <w:color w:val="0E2647"/>
          <w:sz w:val="19"/>
          <w:szCs w:val="19"/>
        </w:rPr>
        <w:t xml:space="preserve">Step 1.  </w:t>
      </w:r>
      <w:r>
        <w:rPr>
          <w:sz w:val="19"/>
          <w:szCs w:val="19"/>
        </w:rPr>
        <w:t xml:space="preserve">Remove gloves without touching the outer, contaminated surface with bare skin — the glove-in-glove or bird-beak technique is acceptable [5–6]</w:t>
      </w:r>
    </w:p>
    <w:p>
      <w:pPr>
        <w:spacing w:after="90" w:line="255"/>
        <w:ind w:left="340" w:hanging="340"/>
      </w:pPr>
      <w:r>
        <w:rPr>
          <w:b/>
          <w:bCs/>
          <w:color w:val="0E2647"/>
          <w:sz w:val="19"/>
          <w:szCs w:val="19"/>
        </w:rPr>
        <w:t xml:space="preserve">Step 2.  </w:t>
      </w:r>
      <w:r>
        <w:rPr>
          <w:sz w:val="19"/>
          <w:szCs w:val="19"/>
        </w:rPr>
        <w:t xml:space="preserve">Remove eye protection or face shield by the headband or ear pieces, without touching the front</w:t>
      </w:r>
    </w:p>
    <w:p>
      <w:pPr>
        <w:spacing w:after="90" w:line="255"/>
        <w:ind w:left="340" w:hanging="340"/>
      </w:pPr>
      <w:r>
        <w:rPr>
          <w:b/>
          <w:bCs/>
          <w:color w:val="0E2647"/>
          <w:sz w:val="19"/>
          <w:szCs w:val="19"/>
        </w:rPr>
        <w:t xml:space="preserve">Step 3.  </w:t>
      </w:r>
      <w:r>
        <w:rPr>
          <w:sz w:val="19"/>
          <w:szCs w:val="19"/>
        </w:rPr>
        <w:t xml:space="preserve">Remove the gown by untying it, touching only the inside, and rolling it away from the body</w:t>
      </w:r>
    </w:p>
    <w:p>
      <w:pPr>
        <w:spacing w:after="90" w:line="255"/>
        <w:ind w:left="340" w:hanging="340"/>
      </w:pPr>
      <w:r>
        <w:rPr>
          <w:b/>
          <w:bCs/>
          <w:color w:val="0E2647"/>
          <w:sz w:val="19"/>
          <w:szCs w:val="19"/>
        </w:rPr>
        <w:t xml:space="preserve">Step 4.  </w:t>
      </w:r>
      <w:r>
        <w:rPr>
          <w:sz w:val="19"/>
          <w:szCs w:val="19"/>
        </w:rPr>
        <w:t xml:space="preserve">Remove the mask or respirator last, by the ties or ear loops, without touching the front</w:t>
      </w:r>
    </w:p>
    <w:p>
      <w:pPr>
        <w:spacing w:after="90" w:line="255"/>
        <w:ind w:left="340" w:hanging="340"/>
      </w:pPr>
      <w:r>
        <w:rPr>
          <w:b/>
          <w:bCs/>
          <w:color w:val="0E2647"/>
          <w:sz w:val="19"/>
          <w:szCs w:val="19"/>
        </w:rPr>
        <w:t xml:space="preserve">Step 5.  </w:t>
      </w:r>
      <w:r>
        <w:rPr>
          <w:sz w:val="19"/>
          <w:szCs w:val="19"/>
        </w:rPr>
        <w:t>Perform hand hygiene (H-IPC-02) immediately after doffing is complete</w:t>
      </w:r>
    </w:p>
    <w:p>
      <w:pPr>
        <w:pBdr>
          <w:left w:val="single" w:color="C9A227" w:sz="16" w:space="10"/>
        </w:pBdr>
        <w:shd w:fill="FFF8E7" w:val="clear"/>
        <w:spacing w:after="160" w:before="110"/>
      </w:pPr>
      <w:r>
        <w:rPr>
          <w:i/>
          <w:iCs/>
          <w:color w:val="5C4A0A"/>
          <w:sz w:val="18"/>
          <w:szCs w:val="18"/>
        </w:rPr>
        <w:t xml:space="preserve">Every surface on the outside of used PPE is considered contaminated the moment it is removed. Hand hygiene is performed again immediately if hands become contaminated at any point during doffing, not only at the end [6].</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PPE is stored in a dry area away from dust, moisture, and contamination; items with an expiration date are stock-rotated</w:t>
      </w:r>
    </w:p>
    <w:p>
      <w:pPr>
        <w:spacing w:after="70" w:line="245"/>
        <w:ind w:left="260" w:hanging="180"/>
      </w:pPr>
      <w:r>
        <w:rPr>
          <w:sz w:val="19"/>
          <w:szCs w:val="19"/>
        </w:rPr>
        <w:t xml:space="preserve">•  Pediatric procedures may require differently sized PPE for smaller patients being examined or restrained — confirm appropriate sizing is stocked</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PPE donning/doffing sequence compliance rate (observed)</w:t>
      </w:r>
    </w:p>
    <w:p>
      <w:pPr>
        <w:spacing w:after="70" w:line="245"/>
        <w:ind w:left="260" w:hanging="180"/>
      </w:pPr>
      <w:r>
        <w:rPr>
          <w:sz w:val="19"/>
          <w:szCs w:val="19"/>
        </w:rPr>
        <w:t xml:space="preserve">•  PPE stock availability and integrity check compliance</w:t>
      </w:r>
    </w:p>
    <w:p>
      <w:pPr>
        <w:spacing w:after="70" w:line="245"/>
        <w:ind w:left="260" w:hanging="180"/>
      </w:pPr>
      <w:r>
        <w:rPr>
          <w:sz w:val="19"/>
          <w:szCs w:val="19"/>
        </w:rPr>
        <w:t xml:space="preserve">•  Documented workplace hazard assessment reviewed annually (Y/N)</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H-IPC-01</w:t>
            </w:r>
          </w:p>
        </w:tc>
        <w:tc>
          <w:tcPr>
            <w:tcMar>
              <w:top w:type="dxa" w:w="70"/>
              <w:left w:type="dxa" w:w="100"/>
              <w:bottom w:type="dxa" w:w="70"/>
              <w:right w:type="dxa" w:w="90"/>
            </w:tcMar>
            <w:vAlign w:val="center"/>
          </w:tcPr>
          <w:p>
            <w:r>
              <w:rPr>
                <w:b w:val="false"/>
                <w:bCs w:val="false"/>
                <w:sz w:val="15"/>
                <w:szCs w:val="15"/>
              </w:rPr>
              <w:t xml:space="preserve">Standard Precautions</w:t>
            </w:r>
          </w:p>
        </w:tc>
      </w:tr>
      <w:tr>
        <w:tc>
          <w:tcPr>
            <w:tcMar>
              <w:top w:type="dxa" w:w="70"/>
              <w:left w:type="dxa" w:w="100"/>
              <w:bottom w:type="dxa" w:w="70"/>
              <w:right w:type="dxa" w:w="90"/>
            </w:tcMar>
            <w:vAlign w:val="center"/>
          </w:tcPr>
          <w:p>
            <w:r>
              <w:rPr>
                <w:b/>
                <w:bCs/>
                <w:sz w:val="15"/>
                <w:szCs w:val="15"/>
              </w:rPr>
              <w:t>H-IPC-02</w:t>
            </w:r>
          </w:p>
        </w:tc>
        <w:tc>
          <w:tcPr>
            <w:tcMar>
              <w:top w:type="dxa" w:w="70"/>
              <w:left w:type="dxa" w:w="100"/>
              <w:bottom w:type="dxa" w:w="70"/>
              <w:right w:type="dxa" w:w="90"/>
            </w:tcMar>
            <w:vAlign w:val="center"/>
          </w:tcPr>
          <w:p>
            <w:r>
              <w:rPr>
                <w:b w:val="false"/>
                <w:bCs w:val="false"/>
                <w:sz w:val="15"/>
                <w:szCs w:val="15"/>
              </w:rPr>
              <w:t xml:space="preserve">Hand Hygiene</w:t>
            </w:r>
          </w:p>
        </w:tc>
      </w:tr>
      <w:tr>
        <w:tc>
          <w:tcPr>
            <w:tcMar>
              <w:top w:type="dxa" w:w="70"/>
              <w:left w:type="dxa" w:w="100"/>
              <w:bottom w:type="dxa" w:w="70"/>
              <w:right w:type="dxa" w:w="90"/>
            </w:tcMar>
            <w:vAlign w:val="center"/>
          </w:tcPr>
          <w:p>
            <w:r>
              <w:rPr>
                <w:b/>
                <w:bCs/>
                <w:sz w:val="15"/>
                <w:szCs w:val="15"/>
              </w:rPr>
              <w:t>H-ONC-01</w:t>
            </w:r>
          </w:p>
        </w:tc>
        <w:tc>
          <w:tcPr>
            <w:tcMar>
              <w:top w:type="dxa" w:w="70"/>
              <w:left w:type="dxa" w:w="100"/>
              <w:bottom w:type="dxa" w:w="70"/>
              <w:right w:type="dxa" w:w="90"/>
            </w:tcMar>
            <w:vAlign w:val="center"/>
          </w:tcPr>
          <w:p>
            <w:r>
              <w:rPr>
                <w:b w:val="false"/>
                <w:bCs w:val="false"/>
                <w:sz w:val="15"/>
                <w:szCs w:val="15"/>
              </w:rPr>
              <w:t xml:space="preserve">Hazardous Drug Handling &amp; Safety (Tier 5)</w:t>
            </w:r>
          </w:p>
        </w:tc>
      </w:tr>
      <w:tr>
        <w:tc>
          <w:tcPr>
            <w:tcMar>
              <w:top w:type="dxa" w:w="70"/>
              <w:left w:type="dxa" w:w="100"/>
              <w:bottom w:type="dxa" w:w="70"/>
              <w:right w:type="dxa" w:w="90"/>
            </w:tcMar>
            <w:vAlign w:val="center"/>
          </w:tcPr>
          <w:p>
            <w:r>
              <w:rPr>
                <w:b/>
                <w:bCs/>
                <w:sz w:val="15"/>
                <w:szCs w:val="15"/>
              </w:rPr>
              <w:t>H-GOV-01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[INFECTION CONTROL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Centers for Disease Control and Prevention. Personal Protective Equipment (PPE) 101. STRIVE Training Series. 2026.</w:t>
      </w:r>
    </w:p>
    <w:p>
      <w:pPr>
        <w:spacing w:after="90" w:line="230"/>
        <w:ind w:left="320" w:hanging="320"/>
      </w:pPr>
      <w:r>
        <w:rPr>
          <w:b/>
          <w:bCs/>
          <w:color w:val="0E2647"/>
          <w:sz w:val="15"/>
          <w:szCs w:val="15"/>
        </w:rPr>
        <w:t xml:space="preserve">[2] </w:t>
      </w:r>
      <w:r>
        <w:rPr>
          <w:sz w:val="15"/>
          <w:szCs w:val="15"/>
        </w:rPr>
        <w:t xml:space="preserve">Occupational Safety and Health Administration. 29 CFR 1910.132, Personal Protective Equipment — General Requirements.</w:t>
      </w:r>
    </w:p>
    <w:p>
      <w:pPr>
        <w:spacing w:after="90" w:line="230"/>
        <w:ind w:left="320" w:hanging="320"/>
      </w:pPr>
      <w:r>
        <w:rPr>
          <w:b/>
          <w:bCs/>
          <w:color w:val="0E2647"/>
          <w:sz w:val="15"/>
          <w:szCs w:val="15"/>
        </w:rPr>
        <w:t xml:space="preserve">[3] </w:t>
      </w:r>
      <w:r>
        <w:rPr>
          <w:sz w:val="15"/>
          <w:szCs w:val="15"/>
        </w:rPr>
        <w:t xml:space="preserve">Medtecs. The Correct Order for Putting on PPE: A Step-by-Step Guide to Gowning and Doffing. 2026.</w:t>
      </w:r>
    </w:p>
    <w:p>
      <w:pPr>
        <w:spacing w:after="90" w:line="230"/>
        <w:ind w:left="320" w:hanging="320"/>
      </w:pPr>
      <w:r>
        <w:rPr>
          <w:b/>
          <w:bCs/>
          <w:color w:val="0E2647"/>
          <w:sz w:val="15"/>
          <w:szCs w:val="15"/>
        </w:rPr>
        <w:t xml:space="preserve">[4] </w:t>
      </w:r>
      <w:r>
        <w:rPr>
          <w:sz w:val="15"/>
          <w:szCs w:val="15"/>
        </w:rPr>
        <w:t xml:space="preserve">Centers for Disease Control and Prevention. Using Personal Protective Equipment (PPE). 2026.</w:t>
      </w:r>
    </w:p>
    <w:p>
      <w:pPr>
        <w:spacing w:after="90" w:line="230"/>
        <w:ind w:left="320" w:hanging="320"/>
      </w:pPr>
      <w:r>
        <w:rPr>
          <w:b/>
          <w:bCs/>
          <w:color w:val="0E2647"/>
          <w:sz w:val="15"/>
          <w:szCs w:val="15"/>
        </w:rPr>
        <w:t xml:space="preserve">[5] </w:t>
      </w:r>
      <w:r>
        <w:rPr>
          <w:sz w:val="15"/>
          <w:szCs w:val="15"/>
        </w:rPr>
        <w:t xml:space="preserve">LearnGxP. Safely Applying and Removing (Donning and Doffing) PPE — CDC Best Practice. 2026.</w:t>
      </w:r>
    </w:p>
    <w:p>
      <w:pPr>
        <w:spacing w:after="90" w:line="230"/>
        <w:ind w:left="320" w:hanging="320"/>
      </w:pPr>
      <w:r>
        <w:rPr>
          <w:b/>
          <w:bCs/>
          <w:color w:val="0E2647"/>
          <w:sz w:val="15"/>
          <w:szCs w:val="15"/>
        </w:rPr>
        <w:t xml:space="preserve">[6] </w:t>
      </w:r>
      <w:r>
        <w:rPr>
          <w:sz w:val="15"/>
          <w:szCs w:val="15"/>
        </w:rPr>
        <w:t xml:space="preserve">Wisconsin Department of Health Services. Healthcare-Associated Infections: Personal Protective Equipment (PPE).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[INFECTION CONTROL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H-IPC-03-EN · Personal Protective Equipment</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2026-09-13T21:39:04.753Z</dcterms:created>
  <dcterms:modified xsi:type="dcterms:W3CDTF">2026-09-13T21:39:04.765Z</dcterms:modified>
</cp:coreProperties>
</file>

<file path=docProps/custom.xml><?xml version="1.0" encoding="utf-8"?>
<Properties xmlns="http://schemas.openxmlformats.org/officeDocument/2006/custom-properties" xmlns:vt="http://schemas.openxmlformats.org/officeDocument/2006/docPropsVTypes"/>
</file>