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30"/>
          <w:szCs w:val="30"/>
        </w:rPr>
        <w:t xml:space="preserve">Sharps Safety</w:t>
      </w:r>
    </w:p>
    <w:p>
      <w:pPr>
        <w:spacing w:after="180" w:before="0"/>
        <w:jc w:val="center"/>
      </w:pPr>
      <w:r>
        <w:rPr>
          <w:i/>
          <w:iCs/>
          <w:color w:val="6B778C"/>
          <w:sz w:val="18"/>
          <w:szCs w:val="18"/>
        </w:rPr>
        <w:t xml:space="preserve">Standard Operating Procedure</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Approved by</w:t>
            </w:r>
          </w:p>
          <w:p>
            <w:pPr>
              <w:spacing w:after="20"/>
            </w:pPr>
            <w:r>
              <w:rPr>
                <w:sz w:val="16"/>
                <w:szCs w:val="16"/>
              </w:rPr>
              <w:t xml:space="preserve">Director, [ORGANIZATION NAME]</w:t>
            </w:r>
          </w:p>
          <w:p>
            <w:pPr>
              <w:spacing w:after="20"/>
            </w:pPr>
            <w:r>
              <w:rPr>
                <w:sz w:val="16"/>
                <w:szCs w:val="16"/>
              </w:rPr>
              <w:t xml:space="preserve">[DIRECTOR NAME] ______________________</w:t>
            </w:r>
          </w:p>
          <w:p>
            <w:r>
              <w:rPr>
                <w:sz w:val="16"/>
                <w:szCs w:val="16"/>
              </w:rPr>
              <w:t xml:space="preserve">Date: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Document Code</w:t>
            </w:r>
          </w:p>
        </w:tc>
        <w:tc>
          <w:tcPr>
            <w:tcW w:type="dxa" w:w="6100"/>
            <w:tcMar>
              <w:top w:type="dxa" w:w="80"/>
              <w:left w:type="dxa" w:w="130"/>
              <w:bottom w:type="dxa" w:w="80"/>
              <w:right w:type="dxa" w:w="90"/>
            </w:tcMar>
            <w:vAlign w:val="center"/>
          </w:tcPr>
          <w:p>
            <w:r>
              <w:rPr>
                <w:color w:val="1A1A1A"/>
                <w:sz w:val="16"/>
                <w:szCs w:val="16"/>
              </w:rPr>
              <w:t>H-IPC-08-EN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Title</w:t>
            </w:r>
          </w:p>
        </w:tc>
        <w:tc>
          <w:tcPr>
            <w:tcW w:type="dxa" w:w="6100"/>
            <w:tcMar>
              <w:top w:type="dxa" w:w="80"/>
              <w:left w:type="dxa" w:w="130"/>
              <w:bottom w:type="dxa" w:w="80"/>
              <w:right w:type="dxa" w:w="90"/>
            </w:tcMar>
            <w:vAlign w:val="center"/>
          </w:tcPr>
          <w:p>
            <w:r>
              <w:rPr>
                <w:color w:val="1A1A1A"/>
                <w:sz w:val="16"/>
                <w:szCs w:val="16"/>
              </w:rPr>
              <w:t xml:space="preserve">Sharps Safety</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Edition</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Copy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Effective Date</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Next Review Date</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Organization</w:t>
            </w:r>
          </w:p>
        </w:tc>
        <w:tc>
          <w:tcPr>
            <w:tcW w:type="dxa" w:w="6100"/>
            <w:tcMar>
              <w:top w:type="dxa" w:w="80"/>
              <w:left w:type="dxa" w:w="130"/>
              <w:bottom w:type="dxa" w:w="80"/>
              <w:right w:type="dxa" w:w="90"/>
            </w:tcMar>
            <w:vAlign w:val="center"/>
          </w:tcPr>
          <w:p>
            <w:r>
              <w:rPr>
                <w:color w:val="1A1A1A"/>
                <w:sz w:val="16"/>
                <w:szCs w:val="16"/>
              </w:rPr>
              <w:t xml:space="preserve">[ORGANIZATION NAME], Georgia</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Language Pair</w:t>
            </w:r>
          </w:p>
        </w:tc>
        <w:tc>
          <w:tcPr>
            <w:tcW w:type="dxa" w:w="6100"/>
            <w:tcMar>
              <w:top w:type="dxa" w:w="80"/>
              <w:left w:type="dxa" w:w="130"/>
              <w:bottom w:type="dxa" w:w="80"/>
              <w:right w:type="dxa" w:w="90"/>
            </w:tcMar>
            <w:vAlign w:val="center"/>
          </w:tcPr>
          <w:p>
            <w:r>
              <w:rPr>
                <w:color w:val="1A1A1A"/>
                <w:sz w:val="16"/>
                <w:szCs w:val="16"/>
              </w:rPr>
              <w:t>Full parallel version of H-IPC-08-KA — same content, not a summary</w:t>
            </w:r>
          </w:p>
        </w:tc>
      </w:tr>
    </w:tbl>
    <w:p>
      <w:pPr>
        <w:pBdr>
          <w:bottom w:val="single" w:color="D8DEE8" w:sz="6"/>
        </w:pBdr>
        <w:spacing w:after="180" w:before="60"/>
      </w:pPr>
    </w:p>
    <w:p>
      <w:pPr>
        <w:pStyle w:val="Heading1"/>
        <w:spacing w:after="120" w:before="240"/>
      </w:pPr>
      <w:r>
        <w:rPr>
          <w:b/>
          <w:bCs/>
          <w:color w:val="0E2647"/>
          <w:sz w:val="24"/>
          <w:szCs w:val="24"/>
        </w:rPr>
        <w:t xml:space="preserve">Table of Contents</w:t>
      </w:r>
    </w:p>
    <w:p>
      <w:pPr>
        <w:spacing w:after="110" w:line="260"/>
      </w:pPr>
      <w:r>
        <w:rPr>
          <w:b w:val="false"/>
          <w:bCs w:val="false"/>
          <w:i w:val="false"/>
          <w:iCs w:val="false"/>
          <w:sz w:val="20"/>
          <w:szCs w:val="20"/>
        </w:rPr>
        <w:t xml:space="preserve">1. Purpose · 2. Scope · 3. Definitions and Abbreviations</w:t>
      </w:r>
    </w:p>
    <w:p>
      <w:pPr>
        <w:spacing w:after="110" w:line="260"/>
      </w:pPr>
      <w:r>
        <w:rPr>
          <w:b w:val="false"/>
          <w:bCs w:val="false"/>
          <w:i w:val="false"/>
          <w:iCs w:val="false"/>
          <w:sz w:val="20"/>
          <w:szCs w:val="20"/>
        </w:rPr>
        <w:t xml:space="preserve">4. General Provisions · 5. Distribution of Responsibilities</w:t>
      </w:r>
    </w:p>
    <w:p>
      <w:pPr>
        <w:spacing w:after="110" w:line="260"/>
      </w:pPr>
      <w:r>
        <w:rPr>
          <w:b w:val="false"/>
          <w:bCs w:val="false"/>
          <w:i w:val="false"/>
          <w:iCs w:val="false"/>
          <w:sz w:val="20"/>
          <w:szCs w:val="20"/>
        </w:rPr>
        <w:t xml:space="preserve">6. Engineering Controls · 7. Safe Handling and Disposal</w:t>
      </w:r>
    </w:p>
    <w:p>
      <w:pPr>
        <w:spacing w:after="110" w:line="260"/>
      </w:pPr>
      <w:r>
        <w:rPr>
          <w:b w:val="false"/>
          <w:bCs w:val="false"/>
          <w:i w:val="false"/>
          <w:iCs w:val="false"/>
          <w:sz w:val="20"/>
          <w:szCs w:val="20"/>
        </w:rPr>
        <w:t xml:space="preserve">8. Regulated Medical Waste Bagging · 9. Post-Exposure Response</w:t>
      </w:r>
    </w:p>
    <w:p>
      <w:pPr>
        <w:spacing w:after="110" w:line="260"/>
      </w:pPr>
      <w:r>
        <w:rPr>
          <w:b w:val="false"/>
          <w:bCs w:val="false"/>
          <w:i w:val="false"/>
          <w:iCs w:val="false"/>
          <w:sz w:val="20"/>
          <w:szCs w:val="20"/>
        </w:rPr>
        <w:t xml:space="preserve">10. Special Considerations · 11. Process Effectiveness Indicators (KPI)</w:t>
      </w:r>
    </w:p>
    <w:p>
      <w:pPr>
        <w:spacing w:after="110" w:line="260"/>
      </w:pPr>
      <w:r>
        <w:rPr>
          <w:b w:val="false"/>
          <w:bCs w:val="false"/>
          <w:i w:val="false"/>
          <w:iCs w:val="false"/>
          <w:sz w:val="20"/>
          <w:szCs w:val="20"/>
        </w:rPr>
        <w:t xml:space="preserve">12. Accompanying Documentation · 13. Approval Sheet · References</w:t>
      </w:r>
    </w:p>
    <w:p>
      <w:pPr>
        <w:pStyle w:val="Heading1"/>
        <w:spacing w:after="120" w:before="240"/>
      </w:pPr>
      <w:r>
        <w:rPr>
          <w:b/>
          <w:bCs/>
          <w:color w:val="0E2647"/>
          <w:sz w:val="24"/>
          <w:szCs w:val="24"/>
        </w:rPr>
        <w:t xml:space="preserve">1. Purpose</w:t>
      </w:r>
    </w:p>
    <w:p>
      <w:pPr>
        <w:spacing w:after="110" w:line="260"/>
      </w:pPr>
      <w:r>
        <w:rPr>
          <w:b w:val="false"/>
          <w:bCs w:val="false"/>
          <w:i w:val="false"/>
          <w:iCs w:val="false"/>
          <w:sz w:val="20"/>
          <w:szCs w:val="20"/>
        </w:rPr>
        <w:t xml:space="preserve">To prevent sharps and needlestick injuries at [ORGANIZATION NAME] through engineering controls, safe work practices, and correct disposal, consistent with the U.S. Needlestick Safety and Prevention Act of 2000 and OSHA's Bloodborne Pathogens Standard, 29 CFR 1910.1030 [1–2].</w:t>
      </w:r>
    </w:p>
    <w:p>
      <w:pPr>
        <w:pStyle w:val="Heading1"/>
        <w:spacing w:after="120" w:before="240"/>
      </w:pPr>
      <w:r>
        <w:rPr>
          <w:b/>
          <w:bCs/>
          <w:color w:val="0E2647"/>
          <w:sz w:val="24"/>
          <w:szCs w:val="24"/>
        </w:rPr>
        <w:t xml:space="preserve">2. Scope</w:t>
      </w:r>
    </w:p>
    <w:p>
      <w:pPr>
        <w:spacing w:after="110" w:line="260"/>
      </w:pPr>
      <w:r>
        <w:rPr>
          <w:b w:val="false"/>
          <w:bCs w:val="false"/>
          <w:i w:val="false"/>
          <w:iCs w:val="false"/>
          <w:sz w:val="20"/>
          <w:szCs w:val="20"/>
        </w:rPr>
        <w:t xml:space="preserve">This SOP applies to every use and disposal of a sharp — needles, lancets, scalpels, and any device capable of puncturing skin — at [ORGANIZATION NAME], including general consultation, the laboratory/draw station, the oncology treatment area, and pediatric vaccination.</w:t>
      </w:r>
    </w:p>
    <w:p>
      <w:pPr>
        <w:pStyle w:val="Heading1"/>
        <w:spacing w:after="120" w:before="240"/>
      </w:pPr>
      <w:r>
        <w:rPr>
          <w:b/>
          <w:bCs/>
          <w:color w:val="0E2647"/>
          <w:sz w:val="24"/>
          <w:szCs w:val="24"/>
        </w:rPr>
        <w:t xml:space="preserve">3. Definitions and Abbreviations</w:t>
      </w:r>
    </w:p>
    <w:p>
      <w:pPr>
        <w:spacing w:after="70" w:line="245"/>
        <w:ind w:left="260" w:hanging="180"/>
      </w:pPr>
      <w:r>
        <w:rPr>
          <w:sz w:val="19"/>
          <w:szCs w:val="19"/>
        </w:rPr>
        <w:t xml:space="preserve">•  Sharp — any object capable of puncturing skin: needles, lancets, scalpels, broken glass contaminated with blood or body fluid</w:t>
      </w:r>
    </w:p>
    <w:p>
      <w:pPr>
        <w:spacing w:after="70" w:line="245"/>
        <w:ind w:left="260" w:hanging="180"/>
      </w:pPr>
      <w:r>
        <w:rPr>
          <w:sz w:val="19"/>
          <w:szCs w:val="19"/>
        </w:rPr>
        <w:t xml:space="preserve">•  Safety-engineered device — a sharp with a built-in mechanism (shielding, retraction) that reduces the risk of injury after use, considered the primary means of exposure control [1–3]</w:t>
      </w:r>
    </w:p>
    <w:p>
      <w:pPr>
        <w:spacing w:after="70" w:line="245"/>
        <w:ind w:left="260" w:hanging="180"/>
      </w:pPr>
      <w:r>
        <w:rPr>
          <w:sz w:val="19"/>
          <w:szCs w:val="19"/>
        </w:rPr>
        <w:t xml:space="preserve">•  Regulated medical waste — waste contaminated with blood or body fluid, including used sharps</w:t>
      </w:r>
    </w:p>
    <w:p>
      <w:pPr>
        <w:pStyle w:val="Heading1"/>
        <w:spacing w:after="120" w:before="240"/>
      </w:pPr>
      <w:r>
        <w:rPr>
          <w:b/>
          <w:bCs/>
          <w:color w:val="0E2647"/>
          <w:sz w:val="24"/>
          <w:szCs w:val="24"/>
        </w:rPr>
        <w:t xml:space="preserve">4. General Provisions</w:t>
      </w:r>
    </w:p>
    <w:p>
      <w:pPr>
        <w:spacing w:after="110" w:line="260"/>
      </w:pPr>
      <w:r>
        <w:rPr>
          <w:b w:val="false"/>
          <w:bCs w:val="false"/>
          <w:i w:val="false"/>
          <w:iCs w:val="false"/>
          <w:sz w:val="20"/>
          <w:szCs w:val="20"/>
        </w:rPr>
        <w:t xml:space="preserve">Sharps injuries are a real, documented, and largely preventable occupational hazard: the CDC estimates healthcare workers sustain nearly 600,000 percutaneous injuries annually from contaminated sharps, with roughly one-third of these injuries occurring specifically during disposal, not use [3–4]. Engineering controls — safety-engineered devices and needleless systems — are the primary means of eliminating this exposure, ahead of PPE or work-practice controls alone [1–2].</w:t>
      </w:r>
    </w:p>
    <w:p>
      <w:pPr>
        <w:pStyle w:val="Heading1"/>
        <w:spacing w:after="120" w:before="240"/>
      </w:pPr>
      <w:r>
        <w:rPr>
          <w:b/>
          <w:bCs/>
          <w:color w:val="0E2647"/>
          <w:sz w:val="24"/>
          <w:szCs w:val="24"/>
        </w:rPr>
        <w:t xml:space="preserve">5. Distribution of Responsibilities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Task</w:t>
            </w:r>
          </w:p>
        </w:tc>
        <w:tc>
          <w:tcPr>
            <w:shd w:fill="0E2647" w:val="clear"/>
            <w:tcMar>
              <w:top w:type="dxa" w:w="70"/>
              <w:left w:type="dxa" w:w="80"/>
              <w:bottom w:type="dxa" w:w="70"/>
              <w:right w:type="dxa" w:w="70"/>
            </w:tcMar>
          </w:tcPr>
          <w:p>
            <w:pPr>
              <w:jc w:val="center"/>
            </w:pPr>
            <w:r>
              <w:rPr>
                <w:b/>
                <w:bCs/>
                <w:color w:val="FFFFFF"/>
                <w:sz w:val="13"/>
                <w:szCs w:val="13"/>
              </w:rPr>
              <w:t xml:space="preserve">Director</w:t>
            </w:r>
          </w:p>
        </w:tc>
        <w:tc>
          <w:tcPr>
            <w:shd w:fill="0E2647" w:val="clear"/>
            <w:tcMar>
              <w:top w:type="dxa" w:w="70"/>
              <w:left w:type="dxa" w:w="80"/>
              <w:bottom w:type="dxa" w:w="70"/>
              <w:right w:type="dxa" w:w="70"/>
            </w:tcMar>
          </w:tcPr>
          <w:p>
            <w:pPr>
              <w:jc w:val="center"/>
            </w:pPr>
            <w:r>
              <w:rPr>
                <w:b/>
                <w:bCs/>
                <w:color w:val="FFFFFF"/>
                <w:sz w:val="13"/>
                <w:szCs w:val="13"/>
              </w:rPr>
              <w:t xml:space="preserve">Quality Manager</w:t>
            </w:r>
          </w:p>
        </w:tc>
        <w:tc>
          <w:tcPr>
            <w:shd w:fill="0E2647" w:val="clear"/>
            <w:tcMar>
              <w:top w:type="dxa" w:w="70"/>
              <w:left w:type="dxa" w:w="80"/>
              <w:bottom w:type="dxa" w:w="70"/>
              <w:right w:type="dxa" w:w="70"/>
            </w:tcMar>
          </w:tcPr>
          <w:p>
            <w:pPr>
              <w:jc w:val="center"/>
            </w:pPr>
            <w:r>
              <w:rPr>
                <w:b/>
                <w:bCs/>
                <w:color w:val="FFFFFF"/>
                <w:sz w:val="13"/>
                <w:szCs w:val="13"/>
              </w:rPr>
              <w:t xml:space="preserve">Infection Control Lead</w:t>
            </w:r>
          </w:p>
        </w:tc>
        <w:tc>
          <w:tcPr>
            <w:shd w:fill="0E2647" w:val="clear"/>
            <w:tcMar>
              <w:top w:type="dxa" w:w="70"/>
              <w:left w:type="dxa" w:w="80"/>
              <w:bottom w:type="dxa" w:w="70"/>
              <w:right w:type="dxa" w:w="70"/>
            </w:tcMar>
          </w:tcPr>
          <w:p>
            <w:pPr>
              <w:jc w:val="center"/>
            </w:pPr>
            <w:r>
              <w:rPr>
                <w:b/>
                <w:bCs/>
                <w:color w:val="FFFFFF"/>
                <w:sz w:val="13"/>
                <w:szCs w:val="13"/>
              </w:rPr>
              <w:t xml:space="preserve">Clinical Staff</w:t>
            </w:r>
          </w:p>
        </w:tc>
      </w:tr>
      <w:tr>
        <w:tc>
          <w:tcPr>
            <w:tcMar>
              <w:top w:type="dxa" w:w="70"/>
              <w:left w:type="dxa" w:w="80"/>
              <w:bottom w:type="dxa" w:w="70"/>
              <w:right w:type="dxa" w:w="70"/>
            </w:tcMar>
            <w:vAlign w:val="center"/>
          </w:tcPr>
          <w:p>
            <w:pPr>
              <w:jc w:val="left"/>
            </w:pPr>
            <w:r>
              <w:rPr>
                <w:b/>
                <w:bCs/>
                <w:sz w:val="14"/>
                <w:szCs w:val="14"/>
              </w:rPr>
              <w:t xml:space="preserve">Approval of this SOP</w:t>
            </w:r>
          </w:p>
        </w:tc>
        <w:tc>
          <w:tcPr>
            <w:tcMar>
              <w:top w:type="dxa" w:w="70"/>
              <w:left w:type="dxa" w:w="80"/>
              <w:bottom w:type="dxa" w:w="70"/>
              <w:right w:type="dxa" w:w="70"/>
            </w:tcMar>
            <w:vAlign w:val="center"/>
          </w:tcPr>
          <w:p>
            <w:pPr>
              <w:jc w:val="center"/>
            </w:pPr>
            <w:r>
              <w:rPr>
                <w:b w:val="false"/>
                <w:bCs w:val="false"/>
                <w:sz w:val="15"/>
                <w:szCs w:val="15"/>
              </w:rPr>
              <w:t xml:space="preserve">Final</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Safety-engineered device selection (with frontline input)</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Agreed</w:t>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Sharps Injury Log maintenance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Correct handling/disposal, every use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r>
      <w:tr>
        <w:tc>
          <w:tcPr>
            <w:tcMar>
              <w:top w:type="dxa" w:w="70"/>
              <w:left w:type="dxa" w:w="80"/>
              <w:bottom w:type="dxa" w:w="70"/>
              <w:right w:type="dxa" w:w="70"/>
            </w:tcMar>
            <w:vAlign w:val="center"/>
          </w:tcPr>
          <w:p>
            <w:pPr>
              <w:jc w:val="left"/>
            </w:pPr>
            <w:r>
              <w:rPr>
                <w:b/>
                <w:bCs/>
                <w:sz w:val="14"/>
                <w:szCs w:val="14"/>
              </w:rPr>
              <w:t xml:space="preserve">Post-exposure incident investigation</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Agreed</w:t>
            </w:r>
          </w:p>
        </w:tc>
        <w:tc>
          <w:tcPr>
            <w:tcMar>
              <w:top w:type="dxa" w:w="70"/>
              <w:left w:type="dxa" w:w="80"/>
              <w:bottom w:type="dxa" w:w="70"/>
              <w:right w:type="dxa" w:w="70"/>
            </w:tcMar>
            <w:vAlign w:val="center"/>
          </w:tcPr>
          <w:p>
            <w:pPr>
              <w:jc w:val="center"/>
            </w:pPr>
            <w:r>
              <w:rPr>
                <w:b w:val="false"/>
                <w:bCs w:val="false"/>
                <w:sz w:val="15"/>
                <w:szCs w:val="15"/>
              </w:rPr>
              <w:t xml:space="preserve"/>
            </w:r>
          </w:p>
        </w:tc>
      </w:tr>
    </w:tbl>
    <w:p>
      <w:pPr>
        <w:pStyle w:val="Heading1"/>
        <w:spacing w:after="120" w:before="240"/>
      </w:pPr>
      <w:r>
        <w:rPr>
          <w:b/>
          <w:bCs/>
          <w:color w:val="0E2647"/>
          <w:sz w:val="24"/>
          <w:szCs w:val="24"/>
        </w:rPr>
        <w:t xml:space="preserve">6. Engineering Controls</w:t>
      </w:r>
    </w:p>
    <w:p>
      <w:pPr>
        <w:spacing w:after="110" w:line="260"/>
      </w:pPr>
      <w:r>
        <w:rPr>
          <w:b w:val="false"/>
          <w:bCs w:val="false"/>
          <w:i w:val="false"/>
          <w:iCs w:val="false"/>
          <w:sz w:val="20"/>
          <w:szCs w:val="20"/>
        </w:rPr>
        <w:t xml:space="preserve">[ORGANIZATION NAME] uses safety-engineered sharps devices (shielded needles, retractable lancets, needleless IV systems) wherever a clinically appropriate device exists — no single device is considered appropriate for every circumstance, and selection is genuinely evaluated per procedure type [1, 5].</w:t>
      </w:r>
    </w:p>
    <w:p>
      <w:pPr>
        <w:pBdr>
          <w:left w:val="single" w:color="C9A227" w:sz="16" w:space="10"/>
        </w:pBdr>
        <w:shd w:fill="FFF8E7" w:val="clear"/>
        <w:spacing w:after="160" w:before="110"/>
      </w:pPr>
      <w:r>
        <w:rPr>
          <w:i/>
          <w:iCs/>
          <w:color w:val="5C4A0A"/>
          <w:sz w:val="18"/>
          <w:szCs w:val="18"/>
        </w:rPr>
        <w:t xml:space="preserve">Consistent with the Needlestick Safety and Prevention Act, staff who directly perform the procedure — not only management — are consulted in the identification, evaluation, and selection of safety-engineered devices before purchase [1, 5]. This is a real, specific legal requirement, not a courtesy.</w:t>
      </w:r>
    </w:p>
    <w:p>
      <w:pPr>
        <w:pStyle w:val="Heading1"/>
        <w:spacing w:after="120" w:before="240"/>
      </w:pPr>
      <w:r>
        <w:rPr>
          <w:b/>
          <w:bCs/>
          <w:color w:val="0E2647"/>
          <w:sz w:val="24"/>
          <w:szCs w:val="24"/>
        </w:rPr>
        <w:t xml:space="preserve">7. Safe Handling and Disposal</w:t>
      </w:r>
    </w:p>
    <w:p>
      <w:pPr>
        <w:spacing w:after="90" w:line="255"/>
        <w:ind w:left="340" w:hanging="340"/>
      </w:pPr>
      <w:r>
        <w:rPr>
          <w:b/>
          <w:bCs/>
          <w:color w:val="0E2647"/>
          <w:sz w:val="19"/>
          <w:szCs w:val="19"/>
        </w:rPr>
        <w:t xml:space="preserve">Step 1.  </w:t>
      </w:r>
      <w:r>
        <w:rPr>
          <w:sz w:val="19"/>
          <w:szCs w:val="19"/>
        </w:rPr>
        <w:t xml:space="preserve">Never recap, bend, or break a used needle by hand under any circumstance</w:t>
      </w:r>
    </w:p>
    <w:p>
      <w:pPr>
        <w:spacing w:after="90" w:line="255"/>
        <w:ind w:left="340" w:hanging="340"/>
      </w:pPr>
      <w:r>
        <w:rPr>
          <w:b/>
          <w:bCs/>
          <w:color w:val="0E2647"/>
          <w:sz w:val="19"/>
          <w:szCs w:val="19"/>
        </w:rPr>
        <w:t xml:space="preserve">Step 2.  </w:t>
      </w:r>
      <w:r>
        <w:rPr>
          <w:sz w:val="19"/>
          <w:szCs w:val="19"/>
        </w:rPr>
        <w:t xml:space="preserve">Activate the safety mechanism on any safety-engineered device immediately after use, before setting the device down</w:t>
      </w:r>
    </w:p>
    <w:p>
      <w:pPr>
        <w:spacing w:after="90" w:line="255"/>
        <w:ind w:left="340" w:hanging="340"/>
      </w:pPr>
      <w:r>
        <w:rPr>
          <w:b/>
          <w:bCs/>
          <w:color w:val="0E2647"/>
          <w:sz w:val="19"/>
          <w:szCs w:val="19"/>
        </w:rPr>
        <w:t xml:space="preserve">Step 3.  </w:t>
      </w:r>
      <w:r>
        <w:rPr>
          <w:sz w:val="19"/>
          <w:szCs w:val="19"/>
        </w:rPr>
        <w:t xml:space="preserve">Dispose of the sharp immediately after use into a puncture-resistant, leakproof, biohazard-labeled sharps container — never into general waste [3–4]</w:t>
      </w:r>
    </w:p>
    <w:p>
      <w:pPr>
        <w:spacing w:after="90" w:line="255"/>
        <w:ind w:left="340" w:hanging="340"/>
      </w:pPr>
      <w:r>
        <w:rPr>
          <w:b/>
          <w:bCs/>
          <w:color w:val="0E2647"/>
          <w:sz w:val="19"/>
          <w:szCs w:val="19"/>
        </w:rPr>
        <w:t xml:space="preserve">Step 4.  </w:t>
      </w:r>
      <w:r>
        <w:rPr>
          <w:sz w:val="19"/>
          <w:szCs w:val="19"/>
        </w:rPr>
        <w:t xml:space="preserve">Sharps containers are located at every point of use — exam rooms, the laboratory/draw station, and the oncology treatment area</w:t>
      </w:r>
    </w:p>
    <w:p>
      <w:pPr>
        <w:spacing w:after="90" w:line="255"/>
        <w:ind w:left="340" w:hanging="340"/>
      </w:pPr>
      <w:r>
        <w:rPr>
          <w:b/>
          <w:bCs/>
          <w:color w:val="0E2647"/>
          <w:sz w:val="19"/>
          <w:szCs w:val="19"/>
        </w:rPr>
        <w:t xml:space="preserve">Step 5.  </w:t>
      </w:r>
      <w:r>
        <w:rPr>
          <w:sz w:val="19"/>
          <w:szCs w:val="19"/>
        </w:rPr>
        <w:t xml:space="preserve">Replace a sharps container before it reaches the manufacturer's fill line — never overfilled [3–4]</w:t>
      </w:r>
    </w:p>
    <w:p>
      <w:pPr>
        <w:pStyle w:val="Heading1"/>
        <w:spacing w:after="120" w:before="240"/>
      </w:pPr>
      <w:r>
        <w:rPr>
          <w:b/>
          <w:bCs/>
          <w:color w:val="0E2647"/>
          <w:sz w:val="24"/>
          <w:szCs w:val="24"/>
        </w:rPr>
        <w:t xml:space="preserve">8. Regulated Medical Waste Bagging</w:t>
      </w:r>
    </w:p>
    <w:p>
      <w:pPr>
        <w:spacing w:after="110" w:line="260"/>
      </w:pPr>
      <w:r>
        <w:rPr>
          <w:b w:val="false"/>
          <w:bCs w:val="false"/>
          <w:i w:val="false"/>
          <w:iCs w:val="false"/>
          <w:sz w:val="20"/>
          <w:szCs w:val="20"/>
        </w:rPr>
        <w:t xml:space="preserve">Regulated medical waste is placed in a single, sturdy, leak-resistant biohazard bag; a bag that becomes punctured or externally contaminated is placed into a second bag before disposal [4]. Sharps containers and regulated medical waste are collected by a licensed medical waste disposal contractor, whose credentials are verified and kept on file (Tier 7, Supplier Evaluation).</w:t>
      </w:r>
    </w:p>
    <w:p>
      <w:pPr>
        <w:pStyle w:val="Heading1"/>
        <w:spacing w:after="120" w:before="240"/>
      </w:pPr>
      <w:r>
        <w:rPr>
          <w:b/>
          <w:bCs/>
          <w:color w:val="0E2647"/>
          <w:sz w:val="24"/>
          <w:szCs w:val="24"/>
        </w:rPr>
        <w:t xml:space="preserve">9. Post-Exposure Response</w:t>
      </w:r>
    </w:p>
    <w:p>
      <w:pPr>
        <w:spacing w:after="110" w:line="260"/>
      </w:pPr>
      <w:r>
        <w:rPr>
          <w:b w:val="false"/>
          <w:bCs w:val="false"/>
          <w:i w:val="false"/>
          <w:iCs w:val="false"/>
          <w:sz w:val="20"/>
          <w:szCs w:val="20"/>
        </w:rPr>
        <w:t>Any sharps injury is reported immediately, regardless of severity. The affected area is washed with soap and water (mucous membranes flushed with water) immediately, and the incident is documented on the Sharps Injury Log and the Incident Log (Tier 8), consistent with the confidential sharps injury log required under the Needlestick Safety and Prevention Act [1, 5]. Post-exposure medical evaluation is arranged without delay, following the same good-faith, non-punitive reporting principle already established under the Nonconformity Procedure (H-GOV-01).</w:t>
      </w:r>
    </w:p>
    <w:p>
      <w:pPr>
        <w:pStyle w:val="Heading1"/>
        <w:spacing w:after="120" w:before="240"/>
      </w:pPr>
      <w:r>
        <w:rPr>
          <w:b/>
          <w:bCs/>
          <w:color w:val="0E2647"/>
          <w:sz w:val="24"/>
          <w:szCs w:val="24"/>
        </w:rPr>
        <w:t xml:space="preserve">10. Special Considerations</w:t>
      </w:r>
    </w:p>
    <w:p>
      <w:pPr>
        <w:spacing w:after="70" w:line="245"/>
        <w:ind w:left="260" w:hanging="180"/>
      </w:pPr>
      <w:r>
        <w:rPr>
          <w:sz w:val="19"/>
          <w:szCs w:val="19"/>
        </w:rPr>
        <w:t xml:space="preserve">•  In the oncology treatment area, sharps used for hazardous drug administration follow this procedure in addition to the Tier 5 Cytotoxic Waste Disposal procedure, not instead of it</w:t>
      </w:r>
    </w:p>
    <w:p>
      <w:pPr>
        <w:spacing w:after="70" w:line="245"/>
        <w:ind w:left="260" w:hanging="180"/>
      </w:pPr>
      <w:r>
        <w:rPr>
          <w:sz w:val="19"/>
          <w:szCs w:val="19"/>
        </w:rPr>
        <w:t xml:space="preserve">•  Pediatric vaccination sharps follow the same disposal requirements as any other sharp — no exception for smaller-gauge needles</w:t>
      </w:r>
    </w:p>
    <w:p>
      <w:pPr>
        <w:pStyle w:val="Heading1"/>
        <w:spacing w:after="120" w:before="240"/>
      </w:pPr>
      <w:r>
        <w:rPr>
          <w:b/>
          <w:bCs/>
          <w:color w:val="0E2647"/>
          <w:sz w:val="24"/>
          <w:szCs w:val="24"/>
        </w:rPr>
        <w:t xml:space="preserve">11. Process Effectiveness Indicators (KPI)</w:t>
      </w:r>
    </w:p>
    <w:p>
      <w:pPr>
        <w:spacing w:after="70" w:line="245"/>
        <w:ind w:left="260" w:hanging="180"/>
      </w:pPr>
      <w:r>
        <w:rPr>
          <w:sz w:val="19"/>
          <w:szCs w:val="19"/>
        </w:rPr>
        <w:t xml:space="preserve">•  Zero preventable sharps injuries per year (real, non-negotiable target)</w:t>
      </w:r>
    </w:p>
    <w:p>
      <w:pPr>
        <w:spacing w:after="70" w:line="245"/>
        <w:ind w:left="260" w:hanging="180"/>
      </w:pPr>
      <w:r>
        <w:rPr>
          <w:sz w:val="19"/>
          <w:szCs w:val="19"/>
        </w:rPr>
        <w:t xml:space="preserve">•  Sharps container fill-level compliance, observed during audit</w:t>
      </w:r>
    </w:p>
    <w:p>
      <w:pPr>
        <w:spacing w:after="70" w:line="245"/>
        <w:ind w:left="260" w:hanging="180"/>
      </w:pPr>
      <w:r>
        <w:rPr>
          <w:sz w:val="19"/>
          <w:szCs w:val="19"/>
        </w:rPr>
        <w:t xml:space="preserve">•  Safety-engineered device usage rate across applicable procedures</w:t>
      </w:r>
    </w:p>
    <w:p>
      <w:pPr>
        <w:pStyle w:val="Heading1"/>
        <w:spacing w:after="120" w:before="240"/>
      </w:pPr>
      <w:r>
        <w:rPr>
          <w:b/>
          <w:bCs/>
          <w:color w:val="0E2647"/>
          <w:sz w:val="24"/>
          <w:szCs w:val="24"/>
        </w:rPr>
        <w:t xml:space="preserve">12. Accompanying Documentation</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Code</w:t>
            </w:r>
          </w:p>
        </w:tc>
        <w:tc>
          <w:tcPr>
            <w:tcMar>
              <w:top w:type="dxa" w:w="70"/>
              <w:left w:type="dxa" w:w="100"/>
              <w:bottom w:type="dxa" w:w="70"/>
              <w:right w:type="dxa" w:w="90"/>
            </w:tcMar>
            <w:vAlign w:val="center"/>
          </w:tcPr>
          <w:p>
            <w:r>
              <w:rPr>
                <w:b w:val="false"/>
                <w:bCs w:val="false"/>
                <w:sz w:val="15"/>
                <w:szCs w:val="15"/>
              </w:rPr>
              <w:t xml:space="preserve">Title</w:t>
            </w:r>
          </w:p>
        </w:tc>
      </w:tr>
      <w:tr>
        <w:tc>
          <w:tcPr>
            <w:tcMar>
              <w:top w:type="dxa" w:w="70"/>
              <w:left w:type="dxa" w:w="100"/>
              <w:bottom w:type="dxa" w:w="70"/>
              <w:right w:type="dxa" w:w="90"/>
            </w:tcMar>
            <w:vAlign w:val="center"/>
          </w:tcPr>
          <w:p>
            <w:r>
              <w:rPr>
                <w:b/>
                <w:bCs/>
                <w:sz w:val="15"/>
                <w:szCs w:val="15"/>
              </w:rPr>
              <w:t>H-IPC-01</w:t>
            </w:r>
          </w:p>
        </w:tc>
        <w:tc>
          <w:tcPr>
            <w:tcMar>
              <w:top w:type="dxa" w:w="70"/>
              <w:left w:type="dxa" w:w="100"/>
              <w:bottom w:type="dxa" w:w="70"/>
              <w:right w:type="dxa" w:w="90"/>
            </w:tcMar>
            <w:vAlign w:val="center"/>
          </w:tcPr>
          <w:p>
            <w:r>
              <w:rPr>
                <w:b w:val="false"/>
                <w:bCs w:val="false"/>
                <w:sz w:val="15"/>
                <w:szCs w:val="15"/>
              </w:rPr>
              <w:t xml:space="preserve">Standard Precautions</w:t>
            </w:r>
          </w:p>
        </w:tc>
      </w:tr>
      <w:tr>
        <w:tc>
          <w:tcPr>
            <w:tcMar>
              <w:top w:type="dxa" w:w="70"/>
              <w:left w:type="dxa" w:w="100"/>
              <w:bottom w:type="dxa" w:w="70"/>
              <w:right w:type="dxa" w:w="90"/>
            </w:tcMar>
            <w:vAlign w:val="center"/>
          </w:tcPr>
          <w:p>
            <w:r>
              <w:rPr>
                <w:b/>
                <w:bCs/>
                <w:sz w:val="15"/>
                <w:szCs w:val="15"/>
              </w:rPr>
              <w:t>H-IPC-03</w:t>
            </w:r>
          </w:p>
        </w:tc>
        <w:tc>
          <w:tcPr>
            <w:tcMar>
              <w:top w:type="dxa" w:w="70"/>
              <w:left w:type="dxa" w:w="100"/>
              <w:bottom w:type="dxa" w:w="70"/>
              <w:right w:type="dxa" w:w="90"/>
            </w:tcMar>
            <w:vAlign w:val="center"/>
          </w:tcPr>
          <w:p>
            <w:r>
              <w:rPr>
                <w:b w:val="false"/>
                <w:bCs w:val="false"/>
                <w:sz w:val="15"/>
                <w:szCs w:val="15"/>
              </w:rPr>
              <w:t xml:space="preserve">Personal Protective Equipment</w:t>
            </w:r>
          </w:p>
        </w:tc>
      </w:tr>
      <w:tr>
        <w:tc>
          <w:tcPr>
            <w:tcMar>
              <w:top w:type="dxa" w:w="70"/>
              <w:left w:type="dxa" w:w="100"/>
              <w:bottom w:type="dxa" w:w="70"/>
              <w:right w:type="dxa" w:w="90"/>
            </w:tcMar>
            <w:vAlign w:val="center"/>
          </w:tcPr>
          <w:p>
            <w:r>
              <w:rPr>
                <w:b/>
                <w:bCs/>
                <w:sz w:val="15"/>
                <w:szCs w:val="15"/>
              </w:rPr>
              <w:t>H-IPC-07</w:t>
            </w:r>
          </w:p>
        </w:tc>
        <w:tc>
          <w:tcPr>
            <w:tcMar>
              <w:top w:type="dxa" w:w="70"/>
              <w:left w:type="dxa" w:w="100"/>
              <w:bottom w:type="dxa" w:w="70"/>
              <w:right w:type="dxa" w:w="90"/>
            </w:tcMar>
            <w:vAlign w:val="center"/>
          </w:tcPr>
          <w:p>
            <w:r>
              <w:rPr>
                <w:b w:val="false"/>
                <w:bCs w:val="false"/>
                <w:sz w:val="15"/>
                <w:szCs w:val="15"/>
              </w:rPr>
              <w:t xml:space="preserve">Safe Injection Practices</w:t>
            </w:r>
          </w:p>
        </w:tc>
      </w:tr>
      <w:tr>
        <w:tc>
          <w:tcPr>
            <w:tcMar>
              <w:top w:type="dxa" w:w="70"/>
              <w:left w:type="dxa" w:w="100"/>
              <w:bottom w:type="dxa" w:w="70"/>
              <w:right w:type="dxa" w:w="90"/>
            </w:tcMar>
            <w:vAlign w:val="center"/>
          </w:tcPr>
          <w:p>
            <w:r>
              <w:rPr>
                <w:b/>
                <w:bCs/>
                <w:sz w:val="15"/>
                <w:szCs w:val="15"/>
              </w:rPr>
              <w:t>H-ONC-04</w:t>
            </w:r>
          </w:p>
        </w:tc>
        <w:tc>
          <w:tcPr>
            <w:tcMar>
              <w:top w:type="dxa" w:w="70"/>
              <w:left w:type="dxa" w:w="100"/>
              <w:bottom w:type="dxa" w:w="70"/>
              <w:right w:type="dxa" w:w="90"/>
            </w:tcMar>
            <w:vAlign w:val="center"/>
          </w:tcPr>
          <w:p>
            <w:r>
              <w:rPr>
                <w:b w:val="false"/>
                <w:bCs w:val="false"/>
                <w:sz w:val="15"/>
                <w:szCs w:val="15"/>
              </w:rPr>
              <w:t xml:space="preserve">Cytotoxic Waste Disposal (Tier 5)</w:t>
            </w:r>
          </w:p>
        </w:tc>
      </w:tr>
      <w:tr>
        <w:tc>
          <w:tcPr>
            <w:tcMar>
              <w:top w:type="dxa" w:w="70"/>
              <w:left w:type="dxa" w:w="100"/>
              <w:bottom w:type="dxa" w:w="70"/>
              <w:right w:type="dxa" w:w="90"/>
            </w:tcMar>
            <w:vAlign w:val="center"/>
          </w:tcPr>
          <w:p>
            <w:r>
              <w:rPr>
                <w:b/>
                <w:bCs/>
                <w:sz w:val="15"/>
                <w:szCs w:val="15"/>
              </w:rPr>
              <w:t>H-GOV-01</w:t>
            </w:r>
          </w:p>
        </w:tc>
        <w:tc>
          <w:tcPr>
            <w:tcMar>
              <w:top w:type="dxa" w:w="70"/>
              <w:left w:type="dxa" w:w="100"/>
              <w:bottom w:type="dxa" w:w="70"/>
              <w:right w:type="dxa" w:w="90"/>
            </w:tcMar>
            <w:vAlign w:val="center"/>
          </w:tcPr>
          <w:p>
            <w:r>
              <w:rPr>
                <w:b w:val="false"/>
                <w:bCs w:val="false"/>
                <w:sz w:val="15"/>
                <w:szCs w:val="15"/>
              </w:rPr>
              <w:t>Nonconformity &amp; Corrective Action</w:t>
            </w:r>
          </w:p>
        </w:tc>
      </w:tr>
    </w:tbl>
    <w:p>
      <w:pPr>
        <w:pStyle w:val="Heading1"/>
        <w:spacing w:after="120" w:before="240"/>
      </w:pPr>
      <w:r>
        <w:rPr>
          <w:b/>
          <w:bCs/>
          <w:color w:val="0E2647"/>
          <w:sz w:val="24"/>
          <w:szCs w:val="24"/>
        </w:rPr>
        <w:t xml:space="preserve">13. Approval Sheet</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Role</w:t>
            </w:r>
          </w:p>
        </w:tc>
        <w:tc>
          <w:tcPr>
            <w:tcMar>
              <w:top w:type="dxa" w:w="70"/>
              <w:left w:type="dxa" w:w="100"/>
              <w:bottom w:type="dxa" w:w="70"/>
              <w:right w:type="dxa" w:w="90"/>
            </w:tcMar>
            <w:vAlign w:val="center"/>
          </w:tcPr>
          <w:p>
            <w:r>
              <w:rPr>
                <w:b w:val="false"/>
                <w:bCs w:val="false"/>
                <w:sz w:val="15"/>
                <w:szCs w:val="15"/>
              </w:rPr>
              <w:t xml:space="preserve">Date</w:t>
            </w:r>
          </w:p>
        </w:tc>
        <w:tc>
          <w:tcPr>
            <w:tcMar>
              <w:top w:type="dxa" w:w="70"/>
              <w:left w:type="dxa" w:w="100"/>
              <w:bottom w:type="dxa" w:w="70"/>
              <w:right w:type="dxa" w:w="90"/>
            </w:tcMar>
            <w:vAlign w:val="center"/>
          </w:tcPr>
          <w:p>
            <w:r>
              <w:rPr>
                <w:b w:val="false"/>
                <w:bCs w:val="false"/>
                <w:sz w:val="15"/>
                <w:szCs w:val="15"/>
              </w:rPr>
              <w:t xml:space="preserve">Signature</w:t>
            </w:r>
          </w:p>
        </w:tc>
      </w:tr>
      <w:tr>
        <w:tc>
          <w:tcPr>
            <w:tcMar>
              <w:top w:type="dxa" w:w="70"/>
              <w:left w:type="dxa" w:w="100"/>
              <w:bottom w:type="dxa" w:w="70"/>
              <w:right w:type="dxa" w:w="90"/>
            </w:tcMar>
            <w:vAlign w:val="center"/>
          </w:tcPr>
          <w:p>
            <w:r>
              <w:rPr>
                <w:b/>
                <w:bCs/>
                <w:sz w:val="15"/>
                <w:szCs w:val="15"/>
              </w:rPr>
              <w:t xml:space="preserve">Prepared by: [INFECTION CONTROL LEAD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Agreed by: [QUALITY MANAGER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References</w:t>
      </w:r>
    </w:p>
    <w:p>
      <w:pPr>
        <w:spacing w:after="90" w:line="230"/>
        <w:ind w:left="320" w:hanging="320"/>
      </w:pPr>
      <w:r>
        <w:rPr>
          <w:b/>
          <w:bCs/>
          <w:color w:val="0E2647"/>
          <w:sz w:val="15"/>
          <w:szCs w:val="15"/>
        </w:rPr>
        <w:t xml:space="preserve">[1] </w:t>
      </w:r>
      <w:r>
        <w:rPr>
          <w:sz w:val="15"/>
          <w:szCs w:val="15"/>
        </w:rPr>
        <w:t xml:space="preserve">Occupational Safety and Health Administration. Needlestick Safety and Prevention Act of 2000, amending 29 CFR 1910.1030.</w:t>
      </w:r>
    </w:p>
    <w:p>
      <w:pPr>
        <w:spacing w:after="90" w:line="230"/>
        <w:ind w:left="320" w:hanging="320"/>
      </w:pPr>
      <w:r>
        <w:rPr>
          <w:b/>
          <w:bCs/>
          <w:color w:val="0E2647"/>
          <w:sz w:val="15"/>
          <w:szCs w:val="15"/>
        </w:rPr>
        <w:t xml:space="preserve">[2] </w:t>
      </w:r>
      <w:r>
        <w:rPr>
          <w:sz w:val="15"/>
          <w:szCs w:val="15"/>
        </w:rPr>
        <w:t xml:space="preserve">Occupational Safety and Health Administration. Bloodborne Pathogens Standard, 29 CFR 1910.1030 — General Guidance.</w:t>
      </w:r>
    </w:p>
    <w:p>
      <w:pPr>
        <w:spacing w:after="90" w:line="230"/>
        <w:ind w:left="320" w:hanging="320"/>
      </w:pPr>
      <w:r>
        <w:rPr>
          <w:b/>
          <w:bCs/>
          <w:color w:val="0E2647"/>
          <w:sz w:val="15"/>
          <w:szCs w:val="15"/>
        </w:rPr>
        <w:t xml:space="preserve">[3] </w:t>
      </w:r>
      <w:r>
        <w:rPr>
          <w:sz w:val="15"/>
          <w:szCs w:val="15"/>
        </w:rPr>
        <w:t xml:space="preserve">Centers for Disease Control and Prevention. Sharps Safety Program Resources. 2026.</w:t>
      </w:r>
    </w:p>
    <w:p>
      <w:pPr>
        <w:spacing w:after="90" w:line="230"/>
        <w:ind w:left="320" w:hanging="320"/>
      </w:pPr>
      <w:r>
        <w:rPr>
          <w:b/>
          <w:bCs/>
          <w:color w:val="0E2647"/>
          <w:sz w:val="15"/>
          <w:szCs w:val="15"/>
        </w:rPr>
        <w:t xml:space="preserve">[4] </w:t>
      </w:r>
      <w:r>
        <w:rPr>
          <w:sz w:val="15"/>
          <w:szCs w:val="15"/>
        </w:rPr>
        <w:t xml:space="preserve">Stericycle. Understanding Proper Sharps Waste Disposal. 2026.</w:t>
      </w:r>
    </w:p>
    <w:p>
      <w:pPr>
        <w:spacing w:after="90" w:line="230"/>
        <w:ind w:left="320" w:hanging="320"/>
      </w:pPr>
      <w:r>
        <w:rPr>
          <w:b/>
          <w:bCs/>
          <w:color w:val="0E2647"/>
          <w:sz w:val="15"/>
          <w:szCs w:val="15"/>
        </w:rPr>
        <w:t xml:space="preserve">[5] </w:t>
      </w:r>
      <w:r>
        <w:rPr>
          <w:sz w:val="15"/>
          <w:szCs w:val="15"/>
        </w:rPr>
        <w:t xml:space="preserve">Occupational Safety and Health Administration. Revision to OSHA's Bloodborne Pathogens Standard — Needlestick Safety and Prevention Act.</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Prepared by: [INFECTION CONTROL LEAD NAME] · Approved by: [DIRECTOR NAME]</w:t>
    </w:r>
    <w:r>
      <w:rPr>
        <w:sz w:val="12"/>
        <w:szCs w:val="12"/>
      </w:rPr>
      <w:t xml:space="preserve">	</w:t>
    </w:r>
    <w:r>
      <w:rPr>
        <w:color w:val="6B778C"/>
        <w:sz w:val="12"/>
        <w:szCs w:val="12"/>
      </w:rPr>
      <w:t xml:space="preserve">Effective: [EFFECTIVE DATE] · Page </w:t>
    </w:r>
    <w:r>
      <w:rPr>
        <w:color w:val="6B778C"/>
        <w:sz w:val="12"/>
        <w:szCs w:val="12"/>
      </w:rPr>
      <w:fldChar w:fldCharType="begin"/>
      <w:instrText xml:space="preserve">PAGE</w:instrText>
      <w:fldChar w:fldCharType="separate"/>
      <w:fldChar w:fldCharType="end"/>
    </w:r>
    <w:r>
      <w:rPr>
        <w:color w:val="6B778C"/>
        <w:sz w:val="12"/>
        <w:szCs w:val="12"/>
      </w:rPr>
      <w:t xml:space="preserve"> of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12"/>
              <w:szCs w:val="12"/>
            </w:rPr>
            <w:t xml:space="preserve">  ·  H-IPC-08-EN · Sharps Safety</w:t>
          </w:r>
        </w:p>
      </w:tc>
      <w:tc>
        <w:tcPr>
          <w:tcW w:type="dxa" w:w="3550"/>
          <w:tcMar>
            <w:top w:type="dxa" w:w="40"/>
            <w:left w:type="dxa" w:w="0"/>
            <w:bottom w:type="dxa" w:w="40"/>
            <w:right w:type="dxa" w:w="0"/>
          </w:tcMar>
          <w:vAlign w:val="center"/>
        </w:tcPr>
        <w:p>
          <w:pPr>
            <w:jc w:val="right"/>
          </w:pPr>
          <w:r>
            <w:rPr>
              <w:color w:val="6B778C"/>
              <w:sz w:val="12"/>
              <w:szCs w:val="12"/>
            </w:rPr>
            <w:t xml:space="preserve">Edition 1.0 · Approved</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2026-09-13T22:15:02.874Z</dcterms:created>
  <dcterms:modified xsi:type="dcterms:W3CDTF">2026-09-13T22:15:02.883Z</dcterms:modified>
</cp:coreProperties>
</file>

<file path=docProps/custom.xml><?xml version="1.0" encoding="utf-8"?>
<Properties xmlns="http://schemas.openxmlformats.org/officeDocument/2006/custom-properties" xmlns:vt="http://schemas.openxmlformats.org/officeDocument/2006/docPropsVTypes"/>
</file>