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Laboratory Internal Quality Control</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H-LAB-02-EN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Laboratory Internal Quality Control</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H-LAB-02-KA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Daily Internal Quality Control · 7. The Westgard Multirule</w:t>
      </w:r>
    </w:p>
    <w:p>
      <w:pPr>
        <w:spacing w:after="110" w:line="260"/>
      </w:pPr>
      <w:r>
        <w:rPr>
          <w:b w:val="false"/>
          <w:bCs w:val="false"/>
          <w:i w:val="false"/>
          <w:iCs w:val="false"/>
          <w:sz w:val="20"/>
          <w:szCs w:val="20"/>
        </w:rPr>
        <w:t xml:space="preserve">8. External Quality Assessment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laboratory test result reported at [ORGANIZATION NAME] is genuinely reliable, through daily internal quality control and periodic external quality assessment, consistent with CLIA's individualized quality control framework and the real Westgard multirule statistical standard [1–4].</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quantitative test performed at [ORGANIZATION NAME]'s in-house laboratory, across general chemistry, hematology, and any specialty testing offered on-site.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Levey-Jennings chart — the standard chart plotting control results against the established mean and standard deviation (SD) over time</w:t>
      </w:r>
    </w:p>
    <w:p>
      <w:pPr>
        <w:spacing w:after="70" w:line="245"/>
        <w:ind w:left="260" w:hanging="180"/>
      </w:pPr>
      <w:r>
        <w:rPr>
          <w:sz w:val="19"/>
          <w:szCs w:val="19"/>
        </w:rPr>
        <w:t xml:space="preserve">•  Westgard multirule — a set of statistical decision rules, applied together, for deciding whether a run is in control or must be rejected [3–4]</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Laboratory testing quality rests on three real, distinct safeguards: qualified personnel, internal quality control, and external quality assessment — no one of the three substitutes for the other two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Lab Lead</w:t>
            </w:r>
          </w:p>
        </w:tc>
        <w:tc>
          <w:tcPr>
            <w:shd w:fill="0E2647" w:val="clear"/>
            <w:tcMar>
              <w:top w:type="dxa" w:w="70"/>
              <w:left w:type="dxa" w:w="80"/>
              <w:bottom w:type="dxa" w:w="70"/>
              <w:right w:type="dxa" w:w="70"/>
            </w:tcMar>
          </w:tcPr>
          <w:p>
            <w:pPr>
              <w:jc w:val="center"/>
            </w:pPr>
            <w:r>
              <w:rPr>
                <w:b/>
                <w:bCs/>
                <w:color w:val="FFFFFF"/>
                <w:sz w:val="13"/>
                <w:szCs w:val="13"/>
              </w:rPr>
              <w:t xml:space="preserve">Lab Technician</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Westgard rule configuration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 control testing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EQA/PT enrollment and submission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Out-of-control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r>
    </w:tbl>
    <w:p>
      <w:pPr>
        <w:pStyle w:val="Heading1"/>
        <w:spacing w:after="120" w:before="240"/>
      </w:pPr>
      <w:r>
        <w:rPr>
          <w:b/>
          <w:bCs/>
          <w:color w:val="0E2647"/>
          <w:sz w:val="24"/>
          <w:szCs w:val="24"/>
        </w:rPr>
        <w:t xml:space="preserve">6. Daily Internal Quality Control</w:t>
      </w:r>
    </w:p>
    <w:p>
      <w:pPr>
        <w:spacing w:after="110" w:line="260"/>
      </w:pPr>
      <w:r>
        <w:rPr>
          <w:b w:val="false"/>
          <w:bCs w:val="false"/>
          <w:i w:val="false"/>
          <w:iCs w:val="false"/>
          <w:sz w:val="20"/>
          <w:szCs w:val="20"/>
        </w:rPr>
        <w:t xml:space="preserve">Two levels of control material are tested at least once each day of patient testing, before patient samples are run, for every non-waived test the laboratory performs, plotted on a Levey-Jennings chart against the established mean and SD [1–2].</w:t>
      </w:r>
    </w:p>
    <w:p>
      <w:pPr>
        <w:pStyle w:val="Heading1"/>
        <w:spacing w:after="120" w:before="240"/>
      </w:pPr>
      <w:r>
        <w:rPr>
          <w:b/>
          <w:bCs/>
          <w:color w:val="0E2647"/>
          <w:sz w:val="24"/>
          <w:szCs w:val="24"/>
        </w:rPr>
        <w:t xml:space="preserve">7. The Westgard Multirule</w:t>
      </w:r>
    </w:p>
    <w:p>
      <w:pPr>
        <w:spacing w:after="110" w:line="260"/>
      </w:pPr>
      <w:r>
        <w:rPr>
          <w:b w:val="false"/>
          <w:bCs w:val="false"/>
          <w:i w:val="false"/>
          <w:iCs w:val="false"/>
          <w:sz w:val="20"/>
          <w:szCs w:val="20"/>
        </w:rPr>
        <w:t xml:space="preserve">[ORGANIZATION NAME]'s laboratory applies the real, widely-adopted Westgard multirule to decide whether a run is accepted or rejected, consistent with CLSI C24 guidance [3–4].</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400"/>
        <w:gridCol w:w="4200"/>
        <w:gridCol w:w="3400"/>
      </w:tblGrid>
      <w:tr>
        <w:tc>
          <w:tcPr>
            <w:shd w:fill="0E2647" w:val="clear"/>
            <w:tcMar>
              <w:top w:type="dxa" w:w="80"/>
              <w:left w:type="dxa" w:w="100"/>
              <w:bottom w:type="dxa" w:w="80"/>
              <w:right w:type="dxa" w:w="80"/>
            </w:tcMar>
          </w:tcPr>
          <w:p>
            <w:r>
              <w:rPr>
                <w:b/>
                <w:bCs/>
                <w:color w:val="FFFFFF"/>
                <w:sz w:val="14"/>
                <w:szCs w:val="14"/>
              </w:rPr>
              <w:t xml:space="preserve">Rule</w:t>
            </w:r>
          </w:p>
        </w:tc>
        <w:tc>
          <w:tcPr>
            <w:shd w:fill="0E2647" w:val="clear"/>
            <w:tcMar>
              <w:top w:type="dxa" w:w="80"/>
              <w:left w:type="dxa" w:w="100"/>
              <w:bottom w:type="dxa" w:w="80"/>
              <w:right w:type="dxa" w:w="80"/>
            </w:tcMar>
          </w:tcPr>
          <w:p>
            <w:r>
              <w:rPr>
                <w:b/>
                <w:bCs/>
                <w:color w:val="FFFFFF"/>
                <w:sz w:val="14"/>
                <w:szCs w:val="14"/>
              </w:rPr>
              <w:t xml:space="preserve">What It Means</w:t>
            </w:r>
          </w:p>
        </w:tc>
        <w:tc>
          <w:tcPr>
            <w:shd w:fill="0E2647" w:val="clear"/>
            <w:tcMar>
              <w:top w:type="dxa" w:w="80"/>
              <w:left w:type="dxa" w:w="100"/>
              <w:bottom w:type="dxa" w:w="80"/>
              <w:right w:type="dxa" w:w="80"/>
            </w:tcMar>
          </w:tcPr>
          <w:p>
            <w:r>
              <w:rPr>
                <w:b/>
                <w:bCs/>
                <w:color w:val="FFFFFF"/>
                <w:sz w:val="14"/>
                <w:szCs w:val="14"/>
              </w:rPr>
              <w:t xml:space="preserve">Detects</w:t>
            </w:r>
          </w:p>
        </w:tc>
      </w:tr>
      <w:tr>
        <w:tc>
          <w:tcPr>
            <w:tcW w:type="dxa" w:w="1400"/>
            <w:tcMar>
              <w:top w:type="dxa" w:w="80"/>
              <w:left w:type="dxa" w:w="100"/>
              <w:bottom w:type="dxa" w:w="80"/>
              <w:right w:type="dxa" w:w="80"/>
            </w:tcMar>
            <w:vAlign w:val="center"/>
          </w:tcPr>
          <w:p>
            <w:r>
              <w:rPr>
                <w:b/>
                <w:bCs/>
                <w:color w:val="0E2647"/>
                <w:sz w:val="16"/>
                <w:szCs w:val="16"/>
              </w:rPr>
              <w:t xml:space="preserve">1-3s</w:t>
            </w:r>
          </w:p>
        </w:tc>
        <w:tc>
          <w:tcPr>
            <w:tcW w:type="dxa" w:w="4200"/>
            <w:tcMar>
              <w:top w:type="dxa" w:w="80"/>
              <w:left w:type="dxa" w:w="100"/>
              <w:bottom w:type="dxa" w:w="80"/>
              <w:right w:type="dxa" w:w="80"/>
            </w:tcMar>
            <w:vAlign w:val="center"/>
          </w:tcPr>
          <w:p>
            <w:r>
              <w:rPr>
                <w:sz w:val="14"/>
                <w:szCs w:val="14"/>
              </w:rPr>
              <w:t xml:space="preserve">One control value exceeds the mean ± 3 SD</w:t>
            </w:r>
          </w:p>
        </w:tc>
        <w:tc>
          <w:tcPr>
            <w:tcW w:type="dxa" w:w="3400"/>
            <w:tcMar>
              <w:top w:type="dxa" w:w="80"/>
              <w:left w:type="dxa" w:w="100"/>
              <w:bottom w:type="dxa" w:w="80"/>
              <w:right w:type="dxa" w:w="80"/>
            </w:tcMar>
            <w:vAlign w:val="center"/>
          </w:tcPr>
          <w:p>
            <w:r>
              <w:rPr>
                <w:sz w:val="13"/>
                <w:szCs w:val="13"/>
              </w:rPr>
              <w:t xml:space="preserve">Random error — run rejected [3–4]</w:t>
            </w:r>
          </w:p>
        </w:tc>
      </w:tr>
      <w:tr>
        <w:tc>
          <w:tcPr>
            <w:tcW w:type="dxa" w:w="1400"/>
            <w:tcMar>
              <w:top w:type="dxa" w:w="80"/>
              <w:left w:type="dxa" w:w="100"/>
              <w:bottom w:type="dxa" w:w="80"/>
              <w:right w:type="dxa" w:w="80"/>
            </w:tcMar>
            <w:vAlign w:val="center"/>
          </w:tcPr>
          <w:p>
            <w:r>
              <w:rPr>
                <w:b/>
                <w:bCs/>
                <w:color w:val="0E2647"/>
                <w:sz w:val="16"/>
                <w:szCs w:val="16"/>
              </w:rPr>
              <w:t xml:space="preserve">2-2s</w:t>
            </w:r>
          </w:p>
        </w:tc>
        <w:tc>
          <w:tcPr>
            <w:tcW w:type="dxa" w:w="4200"/>
            <w:tcMar>
              <w:top w:type="dxa" w:w="80"/>
              <w:left w:type="dxa" w:w="100"/>
              <w:bottom w:type="dxa" w:w="80"/>
              <w:right w:type="dxa" w:w="80"/>
            </w:tcMar>
            <w:vAlign w:val="center"/>
          </w:tcPr>
          <w:p>
            <w:r>
              <w:rPr>
                <w:sz w:val="14"/>
                <w:szCs w:val="14"/>
              </w:rPr>
              <w:t xml:space="preserve">Two consecutive control values exceed the same ±2 SD limit</w:t>
            </w:r>
          </w:p>
        </w:tc>
        <w:tc>
          <w:tcPr>
            <w:tcW w:type="dxa" w:w="3400"/>
            <w:tcMar>
              <w:top w:type="dxa" w:w="80"/>
              <w:left w:type="dxa" w:w="100"/>
              <w:bottom w:type="dxa" w:w="80"/>
              <w:right w:type="dxa" w:w="80"/>
            </w:tcMar>
            <w:vAlign w:val="center"/>
          </w:tcPr>
          <w:p>
            <w:r>
              <w:rPr>
                <w:sz w:val="13"/>
                <w:szCs w:val="13"/>
              </w:rPr>
              <w:t xml:space="preserve">Systematic shift — run rejected [3–4]</w:t>
            </w:r>
          </w:p>
        </w:tc>
      </w:tr>
      <w:tr>
        <w:tc>
          <w:tcPr>
            <w:tcW w:type="dxa" w:w="1400"/>
            <w:tcMar>
              <w:top w:type="dxa" w:w="80"/>
              <w:left w:type="dxa" w:w="100"/>
              <w:bottom w:type="dxa" w:w="80"/>
              <w:right w:type="dxa" w:w="80"/>
            </w:tcMar>
            <w:vAlign w:val="center"/>
          </w:tcPr>
          <w:p>
            <w:r>
              <w:rPr>
                <w:b/>
                <w:bCs/>
                <w:color w:val="0E2647"/>
                <w:sz w:val="16"/>
                <w:szCs w:val="16"/>
              </w:rPr>
              <w:t xml:space="preserve">R-4s</w:t>
            </w:r>
          </w:p>
        </w:tc>
        <w:tc>
          <w:tcPr>
            <w:tcW w:type="dxa" w:w="4200"/>
            <w:tcMar>
              <w:top w:type="dxa" w:w="80"/>
              <w:left w:type="dxa" w:w="100"/>
              <w:bottom w:type="dxa" w:w="80"/>
              <w:right w:type="dxa" w:w="80"/>
            </w:tcMar>
            <w:vAlign w:val="center"/>
          </w:tcPr>
          <w:p>
            <w:r>
              <w:rPr>
                <w:sz w:val="14"/>
                <w:szCs w:val="14"/>
              </w:rPr>
              <w:t xml:space="preserve">The range between two control values exceeds 4 SD</w:t>
            </w:r>
          </w:p>
        </w:tc>
        <w:tc>
          <w:tcPr>
            <w:tcW w:type="dxa" w:w="3400"/>
            <w:tcMar>
              <w:top w:type="dxa" w:w="80"/>
              <w:left w:type="dxa" w:w="100"/>
              <w:bottom w:type="dxa" w:w="80"/>
              <w:right w:type="dxa" w:w="80"/>
            </w:tcMar>
            <w:vAlign w:val="center"/>
          </w:tcPr>
          <w:p>
            <w:r>
              <w:rPr>
                <w:sz w:val="13"/>
                <w:szCs w:val="13"/>
              </w:rPr>
              <w:t xml:space="preserve">Random error across levels — run rejected [3–4]</w:t>
            </w:r>
          </w:p>
        </w:tc>
      </w:tr>
      <w:tr>
        <w:tc>
          <w:tcPr>
            <w:tcW w:type="dxa" w:w="1400"/>
            <w:tcMar>
              <w:top w:type="dxa" w:w="80"/>
              <w:left w:type="dxa" w:w="100"/>
              <w:bottom w:type="dxa" w:w="80"/>
              <w:right w:type="dxa" w:w="80"/>
            </w:tcMar>
            <w:vAlign w:val="center"/>
          </w:tcPr>
          <w:p>
            <w:r>
              <w:rPr>
                <w:b/>
                <w:bCs/>
                <w:color w:val="0E2647"/>
                <w:sz w:val="16"/>
                <w:szCs w:val="16"/>
              </w:rPr>
              <w:t xml:space="preserve">4-1s</w:t>
            </w:r>
          </w:p>
        </w:tc>
        <w:tc>
          <w:tcPr>
            <w:tcW w:type="dxa" w:w="4200"/>
            <w:tcMar>
              <w:top w:type="dxa" w:w="80"/>
              <w:left w:type="dxa" w:w="100"/>
              <w:bottom w:type="dxa" w:w="80"/>
              <w:right w:type="dxa" w:w="80"/>
            </w:tcMar>
            <w:vAlign w:val="center"/>
          </w:tcPr>
          <w:p>
            <w:r>
              <w:rPr>
                <w:sz w:val="14"/>
                <w:szCs w:val="14"/>
              </w:rPr>
              <w:t xml:space="preserve">Four consecutive values exceed the same ±1 SD limit</w:t>
            </w:r>
          </w:p>
        </w:tc>
        <w:tc>
          <w:tcPr>
            <w:tcW w:type="dxa" w:w="3400"/>
            <w:tcMar>
              <w:top w:type="dxa" w:w="80"/>
              <w:left w:type="dxa" w:w="100"/>
              <w:bottom w:type="dxa" w:w="80"/>
              <w:right w:type="dxa" w:w="80"/>
            </w:tcMar>
            <w:vAlign w:val="center"/>
          </w:tcPr>
          <w:p>
            <w:r>
              <w:rPr>
                <w:sz w:val="13"/>
                <w:szCs w:val="13"/>
              </w:rPr>
              <w:t xml:space="preserve">Gradual systematic shift — run rejected [3–4]</w:t>
            </w:r>
          </w:p>
        </w:tc>
      </w:tr>
    </w:tbl>
    <w:p>
      <w:pPr>
        <w:pBdr>
          <w:left w:val="single" w:color="C9A227" w:sz="16" w:space="10"/>
        </w:pBdr>
        <w:shd w:fill="FFF8E7" w:val="clear"/>
        <w:spacing w:after="160" w:before="110"/>
      </w:pPr>
      <w:r>
        <w:rPr>
          <w:i/>
          <w:iCs/>
          <w:color w:val="5C4A0A"/>
          <w:sz w:val="18"/>
          <w:szCs w:val="18"/>
        </w:rPr>
        <w:t xml:space="preserve">If any rejection rule is violated, patient results from that run are held — never released — the cause is investigated (calibration, reagent, control material, instrument maintenance), and the run is repeated only after the cause is identified and corrected [4].</w:t>
      </w:r>
    </w:p>
    <w:p>
      <w:pPr>
        <w:pStyle w:val="Heading1"/>
        <w:spacing w:after="120" w:before="240"/>
      </w:pPr>
      <w:r>
        <w:rPr>
          <w:b/>
          <w:bCs/>
          <w:color w:val="0E2647"/>
          <w:sz w:val="24"/>
          <w:szCs w:val="24"/>
        </w:rPr>
        <w:t xml:space="preserve">8. External Quality Assessment</w:t>
      </w:r>
    </w:p>
    <w:p>
      <w:pPr>
        <w:spacing w:after="110" w:line="260"/>
      </w:pPr>
      <w:r>
        <w:rPr>
          <w:b w:val="false"/>
          <w:bCs w:val="false"/>
          <w:i w:val="false"/>
          <w:iCs w:val="false"/>
          <w:sz w:val="20"/>
          <w:szCs w:val="20"/>
        </w:rPr>
        <w:t xml:space="preserve">[ORGANIZATION NAME]'s laboratory enrolls in an approved external quality assessment or proficiency testing programme for every test category it performs. Unlike internal quality control, EQA uses blinded samples from an outside provider and compares results against peer laboratories — this is the only external, independent check on real testing accuracy [1–2]. Proficiency testing samples are tested by the same staff, methods, and frequency as routine patient specimens, never given special handling.</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Point-of-care testing devices used outside the main laboratory follow the same daily control principle, adapted to the device's specific quality control requirements</w:t>
      </w:r>
    </w:p>
    <w:p>
      <w:pPr>
        <w:spacing w:after="70" w:line="245"/>
        <w:ind w:left="260" w:hanging="180"/>
      </w:pPr>
      <w:r>
        <w:rPr>
          <w:sz w:val="19"/>
          <w:szCs w:val="19"/>
        </w:rPr>
        <w:t>•  An unsatisfactory EQA/PT result triggers root cause investigation under the Nonconformity Procedure (H-GOV-01), not merely a repeat test</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Daily QC completion rate (target: 100%)</w:t>
      </w:r>
    </w:p>
    <w:p>
      <w:pPr>
        <w:spacing w:after="70" w:line="245"/>
        <w:ind w:left="260" w:hanging="180"/>
      </w:pPr>
      <w:r>
        <w:rPr>
          <w:sz w:val="19"/>
          <w:szCs w:val="19"/>
        </w:rPr>
        <w:t xml:space="preserve">•  Westgard rule violations, tracked and investigated</w:t>
      </w:r>
    </w:p>
    <w:p>
      <w:pPr>
        <w:spacing w:after="70" w:line="245"/>
        <w:ind w:left="260" w:hanging="180"/>
      </w:pPr>
      <w:r>
        <w:rPr>
          <w:sz w:val="19"/>
          <w:szCs w:val="19"/>
        </w:rPr>
        <w:t xml:space="preserve">•  EQA/PT satisfactory result rate</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H-LAB-01</w:t>
            </w:r>
          </w:p>
        </w:tc>
        <w:tc>
          <w:tcPr>
            <w:tcMar>
              <w:top w:type="dxa" w:w="70"/>
              <w:left w:type="dxa" w:w="100"/>
              <w:bottom w:type="dxa" w:w="70"/>
              <w:right w:type="dxa" w:w="90"/>
            </w:tcMar>
            <w:vAlign w:val="center"/>
          </w:tcPr>
          <w:p>
            <w:r>
              <w:rPr>
                <w:b w:val="false"/>
                <w:bCs w:val="false"/>
                <w:sz w:val="15"/>
                <w:szCs w:val="15"/>
              </w:rPr>
              <w:t xml:space="preserve">Specimen Collection &amp; Chain of Custody</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Prepared by: [LAB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Medicare &amp; Medicaid Services. Clinical Laboratory Improvement Amendments (CLIA) — Individualized Quality Control Plan. 42 CFR Part 493.</w:t>
      </w:r>
    </w:p>
    <w:p>
      <w:pPr>
        <w:spacing w:after="90" w:line="230"/>
        <w:ind w:left="320" w:hanging="320"/>
      </w:pPr>
      <w:r>
        <w:rPr>
          <w:b/>
          <w:bCs/>
          <w:color w:val="0E2647"/>
          <w:sz w:val="15"/>
          <w:szCs w:val="15"/>
        </w:rPr>
        <w:t xml:space="preserve">[2] </w:t>
      </w:r>
      <w:r>
        <w:rPr>
          <w:sz w:val="15"/>
          <w:szCs w:val="15"/>
        </w:rPr>
        <w:t xml:space="preserve">International Organization for Standardization. ISO 15189:2022, Medical Laboratories — Requirements for Quality and Competence. Geneva: ISO; 2022.</w:t>
      </w:r>
    </w:p>
    <w:p>
      <w:pPr>
        <w:spacing w:after="90" w:line="230"/>
        <w:ind w:left="320" w:hanging="320"/>
      </w:pPr>
      <w:r>
        <w:rPr>
          <w:b/>
          <w:bCs/>
          <w:color w:val="0E2647"/>
          <w:sz w:val="15"/>
          <w:szCs w:val="15"/>
        </w:rPr>
        <w:t xml:space="preserve">[3] </w:t>
      </w:r>
      <w:r>
        <w:rPr>
          <w:sz w:val="15"/>
          <w:szCs w:val="15"/>
        </w:rPr>
        <w:t xml:space="preserve">CASRAI. Westgard Rules: Multirule QC Explained. 2026.</w:t>
      </w:r>
    </w:p>
    <w:p>
      <w:pPr>
        <w:spacing w:after="90" w:line="230"/>
        <w:ind w:left="320" w:hanging="320"/>
      </w:pPr>
      <w:r>
        <w:rPr>
          <w:b/>
          <w:bCs/>
          <w:color w:val="0E2647"/>
          <w:sz w:val="15"/>
          <w:szCs w:val="15"/>
        </w:rPr>
        <w:t xml:space="preserve">[4] </w:t>
      </w:r>
      <w:r>
        <w:rPr>
          <w:sz w:val="15"/>
          <w:szCs w:val="15"/>
        </w:rPr>
        <w:t xml:space="preserve">Westgard, J.O. et al. A Multi-Rule Shewhart Chart for Quality Control in Clinical Chemistry. Clinical Chemistry 27:493-501, 1981.</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[LABORATORY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H-LAB-02-EN · Laboratory QC</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2026-09-14T00:11:55.459Z</dcterms:created>
  <dcterms:modified xsi:type="dcterms:W3CDTF">2026-09-14T00:11:55.473Z</dcterms:modified>
</cp:coreProperties>
</file>

<file path=docProps/custom.xml><?xml version="1.0" encoding="utf-8"?>
<Properties xmlns="http://schemas.openxmlformats.org/officeDocument/2006/custom-properties" xmlns:vt="http://schemas.openxmlformats.org/officeDocument/2006/docPropsVTypes"/>
</file>