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Laboratory Equipment Calibration &amp; Maintenance</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H-LAB-07-EN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Laboratory Equipment Calibration &amp; Maintenance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H-LAB-07-KA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Three Distinct Activities · 7. Metrological Traceability</w:t>
      </w:r>
    </w:p>
    <w:p>
      <w:pPr>
        <w:spacing w:after="110" w:line="260"/>
      </w:pPr>
      <w:r>
        <w:rPr>
          <w:b w:val="false"/>
          <w:bCs w:val="false"/>
          <w:i w:val="false"/>
          <w:iCs w:val="false"/>
          <w:sz w:val="20"/>
          <w:szCs w:val="20"/>
        </w:rPr>
        <w:t xml:space="preserve">8. Recalibration Triggers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laboratory instrument at [ORGANIZATION NAME] is calibrated, maintained, and traceable to a recognized reference, so results are reliable regardless of which instrument produced them, consistent with ISO 15189:2022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This SOP applies to every analyzer, centrifuge, pipette, and other measuring or monitoring equipment used in laboratory testing at [ORGANIZATION NAME] — general laboratory equipment, distinct from imaging equipment (H-LAB-04) and refrigerated storage (H-PED-04).</w:t>
      </w:r>
    </w:p>
    <w:p>
      <w:pPr>
        <w:pStyle w:val="Heading1"/>
        <w:spacing w:after="120" w:before="240"/>
      </w:pPr>
      <w:r>
        <w:rPr>
          <w:b/>
          <w:bCs/>
          <w:color w:val="0E2647"/>
          <w:sz w:val="24"/>
          <w:szCs w:val="24"/>
        </w:rPr>
        <w:t xml:space="preserve">3. Definitions and Abbreviations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600"/>
        <w:gridCol w:w="6400"/>
      </w:tblGrid>
      <w:tr>
        <w:tc>
          <w:tcPr>
            <w:shd w:fill="0E2647" w:val="clear"/>
            <w:tcMar>
              <w:top w:type="dxa" w:w="80"/>
              <w:left w:type="dxa" w:w="100"/>
              <w:bottom w:type="dxa" w:w="80"/>
              <w:right w:type="dxa" w:w="80"/>
            </w:tcMar>
          </w:tcPr>
          <w:p>
            <w:r>
              <w:rPr>
                <w:b/>
                <w:bCs/>
                <w:color w:val="FFFFFF"/>
                <w:sz w:val="14"/>
                <w:szCs w:val="14"/>
              </w:rPr>
              <w:t xml:space="preserve">Activity</w:t>
            </w:r>
          </w:p>
        </w:tc>
        <w:tc>
          <w:tcPr>
            <w:shd w:fill="0E2647" w:val="clear"/>
            <w:tcMar>
              <w:top w:type="dxa" w:w="80"/>
              <w:left w:type="dxa" w:w="100"/>
              <w:bottom w:type="dxa" w:w="80"/>
              <w:right w:type="dxa" w:w="80"/>
            </w:tcMar>
          </w:tcPr>
          <w:p>
            <w:r>
              <w:rPr>
                <w:b/>
                <w:bCs/>
                <w:color w:val="FFFFFF"/>
                <w:sz w:val="14"/>
                <w:szCs w:val="14"/>
              </w:rPr>
              <w:t xml:space="preserve">Real Definition</w:t>
            </w:r>
          </w:p>
        </w:tc>
      </w:tr>
      <w:tr>
        <w:tc>
          <w:tcPr>
            <w:tcW w:type="dxa" w:w="2600"/>
            <w:tcMar>
              <w:top w:type="dxa" w:w="80"/>
              <w:left w:type="dxa" w:w="100"/>
              <w:bottom w:type="dxa" w:w="80"/>
              <w:right w:type="dxa" w:w="80"/>
            </w:tcMar>
            <w:vAlign w:val="center"/>
          </w:tcPr>
          <w:p>
            <w:r>
              <w:rPr>
                <w:b/>
                <w:bCs/>
                <w:color w:val="0E2647"/>
                <w:sz w:val="15"/>
                <w:szCs w:val="15"/>
              </w:rPr>
              <w:t xml:space="preserve">Preventive maintenance</w:t>
            </w:r>
          </w:p>
        </w:tc>
        <w:tc>
          <w:tcPr>
            <w:tcW w:type="dxa" w:w="6400"/>
            <w:tcMar>
              <w:top w:type="dxa" w:w="80"/>
              <w:left w:type="dxa" w:w="100"/>
              <w:bottom w:type="dxa" w:w="80"/>
              <w:right w:type="dxa" w:w="80"/>
            </w:tcMar>
            <w:vAlign w:val="center"/>
          </w:tcPr>
          <w:p>
            <w:r>
              <w:rPr>
                <w:sz w:val="14"/>
                <w:szCs w:val="14"/>
              </w:rPr>
              <w:t xml:space="preserve">Scheduled servicing based on time, usage cycles, or manufacturer protocol — performed before performance degrades, not after [3]</w:t>
            </w:r>
          </w:p>
        </w:tc>
      </w:tr>
      <w:tr>
        <w:tc>
          <w:tcPr>
            <w:tcW w:type="dxa" w:w="2600"/>
            <w:tcMar>
              <w:top w:type="dxa" w:w="80"/>
              <w:left w:type="dxa" w:w="100"/>
              <w:bottom w:type="dxa" w:w="80"/>
              <w:right w:type="dxa" w:w="80"/>
            </w:tcMar>
            <w:vAlign w:val="center"/>
          </w:tcPr>
          <w:p>
            <w:r>
              <w:rPr>
                <w:b/>
                <w:bCs/>
                <w:color w:val="0E2647"/>
                <w:sz w:val="15"/>
                <w:szCs w:val="15"/>
              </w:rPr>
              <w:t xml:space="preserve">Calibration</w:t>
            </w:r>
          </w:p>
        </w:tc>
        <w:tc>
          <w:tcPr>
            <w:tcW w:type="dxa" w:w="6400"/>
            <w:tcMar>
              <w:top w:type="dxa" w:w="80"/>
              <w:left w:type="dxa" w:w="100"/>
              <w:bottom w:type="dxa" w:w="80"/>
              <w:right w:type="dxa" w:w="80"/>
            </w:tcMar>
            <w:vAlign w:val="center"/>
          </w:tcPr>
          <w:p>
            <w:r>
              <w:rPr>
                <w:sz w:val="14"/>
                <w:szCs w:val="14"/>
              </w:rPr>
              <w:t xml:space="preserve">Formal adjustment of instrument measurement accuracy against a traceable reference standard [3]</w:t>
            </w:r>
          </w:p>
        </w:tc>
      </w:tr>
      <w:tr>
        <w:tc>
          <w:tcPr>
            <w:tcW w:type="dxa" w:w="2600"/>
            <w:tcMar>
              <w:top w:type="dxa" w:w="80"/>
              <w:left w:type="dxa" w:w="100"/>
              <w:bottom w:type="dxa" w:w="80"/>
              <w:right w:type="dxa" w:w="80"/>
            </w:tcMar>
            <w:vAlign w:val="center"/>
          </w:tcPr>
          <w:p>
            <w:r>
              <w:rPr>
                <w:b/>
                <w:bCs/>
                <w:color w:val="0E2647"/>
                <w:sz w:val="15"/>
                <w:szCs w:val="15"/>
              </w:rPr>
              <w:t xml:space="preserve">Calibration verification</w:t>
            </w:r>
          </w:p>
        </w:tc>
        <w:tc>
          <w:tcPr>
            <w:tcW w:type="dxa" w:w="6400"/>
            <w:tcMar>
              <w:top w:type="dxa" w:w="80"/>
              <w:left w:type="dxa" w:w="100"/>
              <w:bottom w:type="dxa" w:w="80"/>
              <w:right w:type="dxa" w:w="80"/>
            </w:tcMar>
            <w:vAlign w:val="center"/>
          </w:tcPr>
          <w:p>
            <w:r>
              <w:rPr>
                <w:sz w:val="14"/>
                <w:szCs w:val="14"/>
              </w:rPr>
              <w:t xml:space="preserve">Periodic confirmation that calibration remains within acceptable limits between full recalibrations — genuinely distinct from calibration itself, and often confused with it [3]</w:t>
            </w:r>
          </w:p>
        </w:tc>
      </w:tr>
    </w:tbl>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These are three distinct activities, not interchangeable terms — a lab that performs preventive maintenance but never formally verifies calibration has not met the real requirement, even if the equipment appears to be functioning normally [3]. Every measurement result is traceable to the International System of Units (SI) or another internationally recognized reference through a documented, unbroken chain of calibrations [1–2, 4].</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Lab Lead</w:t>
            </w:r>
          </w:p>
        </w:tc>
        <w:tc>
          <w:tcPr>
            <w:shd w:fill="0E2647" w:val="clear"/>
            <w:tcMar>
              <w:top w:type="dxa" w:w="70"/>
              <w:left w:type="dxa" w:w="80"/>
              <w:bottom w:type="dxa" w:w="70"/>
              <w:right w:type="dxa" w:w="70"/>
            </w:tcMar>
          </w:tcPr>
          <w:p>
            <w:pPr>
              <w:jc w:val="center"/>
            </w:pPr>
            <w:r>
              <w:rPr>
                <w:b/>
                <w:bCs/>
                <w:color w:val="FFFFFF"/>
                <w:sz w:val="13"/>
                <w:szCs w:val="13"/>
              </w:rPr>
              <w:t xml:space="preserve">Technologist</w:t>
            </w:r>
          </w:p>
        </w:tc>
        <w:tc>
          <w:tcPr>
            <w:shd w:fill="0E2647" w:val="clear"/>
            <w:tcMar>
              <w:top w:type="dxa" w:w="70"/>
              <w:left w:type="dxa" w:w="80"/>
              <w:bottom w:type="dxa" w:w="70"/>
              <w:right w:type="dxa" w:w="70"/>
            </w:tcMar>
          </w:tcPr>
          <w:p>
            <w:pPr>
              <w:jc w:val="center"/>
            </w:pPr>
            <w:r>
              <w:rPr>
                <w:b/>
                <w:bCs/>
                <w:color w:val="FFFFFF"/>
                <w:sz w:val="13"/>
                <w:szCs w:val="13"/>
              </w:rPr>
              <w:t xml:space="preserve">Service Vendor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Equipment inventory and schedule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Daily/routine functional checks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Calibration verification, per schedule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Full calibration/repair, where required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6. Three Distinct Activities</w:t>
      </w:r>
    </w:p>
    <w:p>
      <w:pPr>
        <w:spacing w:after="110" w:line="260"/>
      </w:pPr>
      <w:r>
        <w:rPr>
          <w:b w:val="false"/>
          <w:bCs w:val="false"/>
          <w:i w:val="false"/>
          <w:iCs w:val="false"/>
          <w:sz w:val="20"/>
          <w:szCs w:val="20"/>
        </w:rPr>
        <w:t xml:space="preserve">[ORGANIZATION NAME] maintains all three activities as genuinely separate, documented processes for every piece of measuring equipment, not a single generic “maintenance” record [3].</w:t>
      </w:r>
    </w:p>
    <w:p>
      <w:pPr>
        <w:spacing w:after="90" w:line="255"/>
        <w:ind w:left="340" w:hanging="340"/>
      </w:pPr>
      <w:r>
        <w:rPr>
          <w:b/>
          <w:bCs/>
          <w:color w:val="0E2647"/>
          <w:sz w:val="19"/>
          <w:szCs w:val="19"/>
        </w:rPr>
        <w:t xml:space="preserve">Step 1.  </w:t>
      </w:r>
      <w:r>
        <w:rPr>
          <w:sz w:val="19"/>
          <w:szCs w:val="19"/>
        </w:rPr>
        <w:t xml:space="preserve">Preventive maintenance follows the manufacturer's schedule, performed proactively — before a failure, not in response to one</w:t>
      </w:r>
    </w:p>
    <w:p>
      <w:pPr>
        <w:spacing w:after="90" w:line="255"/>
        <w:ind w:left="340" w:hanging="340"/>
      </w:pPr>
      <w:r>
        <w:rPr>
          <w:b/>
          <w:bCs/>
          <w:color w:val="0E2647"/>
          <w:sz w:val="19"/>
          <w:szCs w:val="19"/>
        </w:rPr>
        <w:t xml:space="preserve">Step 2.  </w:t>
      </w:r>
      <w:r>
        <w:rPr>
          <w:sz w:val="19"/>
          <w:szCs w:val="19"/>
        </w:rPr>
        <w:t xml:space="preserve">Full calibration is performed before any new test system enters clinical use, using calibrators traceable to NIST or an equivalent national metrology standard, with lot numbers, expiration dates, acceptance criteria, and technologist signature documented [3]</w:t>
      </w:r>
    </w:p>
    <w:p>
      <w:pPr>
        <w:spacing w:after="90" w:line="255"/>
        <w:ind w:left="340" w:hanging="340"/>
      </w:pPr>
      <w:r>
        <w:rPr>
          <w:b/>
          <w:bCs/>
          <w:color w:val="0E2647"/>
          <w:sz w:val="19"/>
          <w:szCs w:val="19"/>
        </w:rPr>
        <w:t xml:space="preserve">Step 3.  </w:t>
      </w:r>
      <w:r>
        <w:rPr>
          <w:sz w:val="19"/>
          <w:szCs w:val="19"/>
        </w:rPr>
        <w:t xml:space="preserve">Calibration verification occurs at minimum every 6 months, after any major maintenance or repair, and whenever QC performance suggests a calibration shift — using at least two levels of verification material across the reportable range [3]</w:t>
      </w:r>
    </w:p>
    <w:p>
      <w:pPr>
        <w:pStyle w:val="Heading1"/>
        <w:spacing w:after="120" w:before="240"/>
      </w:pPr>
      <w:r>
        <w:rPr>
          <w:b/>
          <w:bCs/>
          <w:color w:val="0E2647"/>
          <w:sz w:val="24"/>
          <w:szCs w:val="24"/>
        </w:rPr>
        <w:t xml:space="preserve">7. Metrological Traceability</w:t>
      </w:r>
    </w:p>
    <w:p>
      <w:pPr>
        <w:spacing w:after="110" w:line="260"/>
      </w:pPr>
      <w:r>
        <w:rPr>
          <w:b w:val="false"/>
          <w:bCs w:val="false"/>
          <w:i w:val="false"/>
          <w:iCs w:val="false"/>
          <w:sz w:val="20"/>
          <w:szCs w:val="20"/>
        </w:rPr>
        <w:t xml:space="preserve">Traceability comes from the calibrator and the examination system manufacturer, not from internal QC material — a real, technical distinction: QC material confirms day-to-day performance is stable, but it is not itself the source of traceability to a higher-order reference [4–5]. Where full metrological traceability is not technically achievable for a given test, [ORGANIZATION NAME] documents suitable alternative evidence of result reliability, such as certified reference materials [1–2].</w:t>
      </w:r>
    </w:p>
    <w:p>
      <w:pPr>
        <w:pStyle w:val="Heading1"/>
        <w:spacing w:after="120" w:before="240"/>
      </w:pPr>
      <w:r>
        <w:rPr>
          <w:b/>
          <w:bCs/>
          <w:color w:val="0E2647"/>
          <w:sz w:val="24"/>
          <w:szCs w:val="24"/>
        </w:rPr>
        <w:t xml:space="preserve">8. Recalibration Triggers</w:t>
      </w:r>
    </w:p>
    <w:p>
      <w:pPr>
        <w:spacing w:after="70" w:line="245"/>
        <w:ind w:left="260" w:hanging="180"/>
      </w:pPr>
      <w:r>
        <w:rPr>
          <w:sz w:val="19"/>
          <w:szCs w:val="19"/>
        </w:rPr>
        <w:t xml:space="preserve">•  A new reagent lot is introduced — recalibration is required unless the manufacturer provides documented verification that lot-to-lot recalibration is not necessary for that specific test system [3]</w:t>
      </w:r>
    </w:p>
    <w:p>
      <w:pPr>
        <w:spacing w:after="70" w:line="245"/>
        <w:ind w:left="260" w:hanging="180"/>
      </w:pPr>
      <w:r>
        <w:rPr>
          <w:sz w:val="19"/>
          <w:szCs w:val="19"/>
        </w:rPr>
        <w:t xml:space="preserve">•  Major maintenance or repair has been performed</w:t>
      </w:r>
    </w:p>
    <w:p>
      <w:pPr>
        <w:spacing w:after="70" w:line="245"/>
        <w:ind w:left="260" w:hanging="180"/>
      </w:pPr>
      <w:r>
        <w:rPr>
          <w:sz w:val="19"/>
          <w:szCs w:val="19"/>
        </w:rPr>
        <w:t xml:space="preserve">•  QC performance indicates a possible calibration shift, even before the formal 6-month verification interval is due</w:t>
      </w:r>
    </w:p>
    <w:p>
      <w:pPr>
        <w:pBdr>
          <w:left w:val="single" w:color="C9A227" w:sz="16" w:space="10"/>
        </w:pBdr>
        <w:shd w:fill="FFF8E7" w:val="clear"/>
        <w:spacing w:after="160" w:before="110"/>
      </w:pPr>
      <w:r>
        <w:rPr>
          <w:i/>
          <w:iCs/>
          <w:color w:val="5C4A0A"/>
          <w:sz w:val="18"/>
          <w:szCs w:val="18"/>
        </w:rPr>
        <w:t xml:space="preserve">A written, documented decision pathway exists for every lot change — not an ad hoc judgment call made differently each time by whichever technologist is on shift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Ancillary equipment that could critically contribute to result uncertainty (e.g., a pipette used in a quantitative assay) receives the same calibration verification discipline as the primary analyzer, not a lesser standard because it seems secondary [5]</w:t>
      </w:r>
    </w:p>
    <w:p>
      <w:pPr>
        <w:spacing w:after="70" w:line="245"/>
        <w:ind w:left="260" w:hanging="180"/>
      </w:pPr>
      <w:r>
        <w:rPr>
          <w:sz w:val="19"/>
          <w:szCs w:val="19"/>
        </w:rPr>
        <w:t xml:space="preserve">•  Digital equipment records — rather than paper logs alone — meaningfully simplify audit readiness and are used where feasible [6]</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Calibration verification completion rate against the 6-month minimum schedule</w:t>
      </w:r>
    </w:p>
    <w:p>
      <w:pPr>
        <w:spacing w:after="70" w:line="245"/>
        <w:ind w:left="260" w:hanging="180"/>
      </w:pPr>
      <w:r>
        <w:rPr>
          <w:sz w:val="19"/>
          <w:szCs w:val="19"/>
        </w:rPr>
        <w:t xml:space="preserve">•  Recalibration triggered and completed for every new reagent lot without a documented exception</w:t>
      </w:r>
    </w:p>
    <w:p>
      <w:pPr>
        <w:spacing w:after="70" w:line="245"/>
        <w:ind w:left="260" w:hanging="180"/>
      </w:pPr>
      <w:r>
        <w:rPr>
          <w:sz w:val="19"/>
          <w:szCs w:val="19"/>
        </w:rPr>
        <w:t xml:space="preserve">•  Equipment downtime attributable to missed preventive maintenance</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H-LAB-02</w:t>
            </w:r>
          </w:p>
        </w:tc>
        <w:tc>
          <w:tcPr>
            <w:tcMar>
              <w:top w:type="dxa" w:w="70"/>
              <w:left w:type="dxa" w:w="100"/>
              <w:bottom w:type="dxa" w:w="70"/>
              <w:right w:type="dxa" w:w="90"/>
            </w:tcMar>
            <w:vAlign w:val="center"/>
          </w:tcPr>
          <w:p>
            <w:r>
              <w:rPr>
                <w:b w:val="false"/>
                <w:bCs w:val="false"/>
                <w:sz w:val="15"/>
                <w:szCs w:val="15"/>
              </w:rPr>
              <w:t xml:space="preserve">Laboratory Internal QC</w:t>
            </w:r>
          </w:p>
        </w:tc>
      </w:tr>
      <w:tr>
        <w:tc>
          <w:tcPr>
            <w:tcMar>
              <w:top w:type="dxa" w:w="70"/>
              <w:left w:type="dxa" w:w="100"/>
              <w:bottom w:type="dxa" w:w="70"/>
              <w:right w:type="dxa" w:w="90"/>
            </w:tcMar>
            <w:vAlign w:val="center"/>
          </w:tcPr>
          <w:p>
            <w:r>
              <w:rPr>
                <w:b/>
                <w:bCs/>
                <w:sz w:val="15"/>
                <w:szCs w:val="15"/>
              </w:rPr>
              <w:t>H-LAB-04</w:t>
            </w:r>
          </w:p>
        </w:tc>
        <w:tc>
          <w:tcPr>
            <w:tcMar>
              <w:top w:type="dxa" w:w="70"/>
              <w:left w:type="dxa" w:w="100"/>
              <w:bottom w:type="dxa" w:w="70"/>
              <w:right w:type="dxa" w:w="90"/>
            </w:tcMar>
            <w:vAlign w:val="center"/>
          </w:tcPr>
          <w:p>
            <w:r>
              <w:rPr>
                <w:b w:val="false"/>
                <w:bCs w:val="false"/>
                <w:sz w:val="15"/>
                <w:szCs w:val="15"/>
              </w:rPr>
              <w:t xml:space="preserve">Imaging QA</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[LAB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SimplerQMS. ISO 15189: Definition, Requirements, Implementation, and Accreditation — equipment and calibration requirements. 2026.</w:t>
      </w:r>
    </w:p>
    <w:p>
      <w:pPr>
        <w:spacing w:after="90" w:line="230"/>
        <w:ind w:left="320" w:hanging="320"/>
      </w:pPr>
      <w:r>
        <w:rPr>
          <w:b/>
          <w:bCs/>
          <w:color w:val="0E2647"/>
          <w:sz w:val="15"/>
          <w:szCs w:val="15"/>
        </w:rPr>
        <w:t xml:space="preserve">[2] </w:t>
      </w:r>
      <w:r>
        <w:rPr>
          <w:sz w:val="15"/>
          <w:szCs w:val="15"/>
        </w:rPr>
        <w:t xml:space="preserve">ISO 15189:2022, Clause 6.5.3 — Metrological traceability of measurement results.</w:t>
      </w:r>
    </w:p>
    <w:p>
      <w:pPr>
        <w:spacing w:after="90" w:line="230"/>
        <w:ind w:left="320" w:hanging="320"/>
      </w:pPr>
      <w:r>
        <w:rPr>
          <w:b/>
          <w:bCs/>
          <w:color w:val="0E2647"/>
          <w:sz w:val="15"/>
          <w:szCs w:val="15"/>
        </w:rPr>
        <w:t xml:space="preserve">[3] </w:t>
      </w:r>
      <w:r>
        <w:rPr>
          <w:sz w:val="15"/>
          <w:szCs w:val="15"/>
        </w:rPr>
        <w:t xml:space="preserve">Oxmaint. Laboratory Equipment Maintenance Guide: Calibration, Compliance &amp; Accuracy — PM/calibration/verification distinction, CLIA triggers. 2026.</w:t>
      </w:r>
    </w:p>
    <w:p>
      <w:pPr>
        <w:spacing w:after="90" w:line="230"/>
        <w:ind w:left="320" w:hanging="320"/>
      </w:pPr>
      <w:r>
        <w:rPr>
          <w:b/>
          <w:bCs/>
          <w:color w:val="0E2647"/>
          <w:sz w:val="15"/>
          <w:szCs w:val="15"/>
        </w:rPr>
        <w:t xml:space="preserve">[4] </w:t>
      </w:r>
      <w:r>
        <w:rPr>
          <w:sz w:val="15"/>
          <w:szCs w:val="15"/>
        </w:rPr>
        <w:t xml:space="preserve">PMC. Practical considerations on redesigning internal quality control process to verify traceability — IQC vs. calibrator traceability distinction. 2024.</w:t>
      </w:r>
    </w:p>
    <w:p>
      <w:pPr>
        <w:spacing w:after="90" w:line="230"/>
        <w:ind w:left="320" w:hanging="320"/>
      </w:pPr>
      <w:r>
        <w:rPr>
          <w:b/>
          <w:bCs/>
          <w:color w:val="0E2647"/>
          <w:sz w:val="15"/>
          <w:szCs w:val="15"/>
        </w:rPr>
        <w:t xml:space="preserve">[5] </w:t>
      </w:r>
      <w:r>
        <w:rPr>
          <w:sz w:val="15"/>
          <w:szCs w:val="15"/>
        </w:rPr>
        <w:t xml:space="preserve">PubMed. Documenting metrological traceability as intended by ISO 15189 — ancillary equipment verification.</w:t>
      </w:r>
    </w:p>
    <w:p>
      <w:pPr>
        <w:spacing w:after="90" w:line="230"/>
        <w:ind w:left="320" w:hanging="320"/>
      </w:pPr>
      <w:r>
        <w:rPr>
          <w:b/>
          <w:bCs/>
          <w:color w:val="0E2647"/>
          <w:sz w:val="15"/>
          <w:szCs w:val="15"/>
        </w:rPr>
        <w:t xml:space="preserve">[6] </w:t>
      </w:r>
      <w:r>
        <w:rPr>
          <w:sz w:val="15"/>
          <w:szCs w:val="15"/>
        </w:rPr>
        <w:t xml:space="preserve">LabThunder. Two standards, one goal: quality and competence in the lab under ISO 17025 and ISO 15189 — audit-ready digital records.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[LAB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H-LAB-07-EN · Equipment Calibration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2026-09-14T14:47:48.083Z</dcterms:created>
  <dcterms:modified xsi:type="dcterms:W3CDTF">2026-09-14T14:47:48.083Z</dcterms:modified>
</cp:coreProperties>
</file>

<file path=docProps/custom.xml><?xml version="1.0" encoding="utf-8"?>
<Properties xmlns="http://schemas.openxmlformats.org/officeDocument/2006/custom-properties" xmlns:vt="http://schemas.openxmlformats.org/officeDocument/2006/docPropsVTypes"/>
</file>