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Laboratory Data Integrity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H-LAB-16-EN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Laboratory Data Integrity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H-LAB-16-KA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Chain of Custody vs. Audit Trail · 7. The ALCOA Standard</w:t>
      </w:r>
    </w:p>
    <w:p>
      <w:pPr>
        <w:spacing w:after="110" w:line="260"/>
      </w:pPr>
      <w:r>
        <w:rPr>
          <w:sz w:val="20"/>
          <w:szCs w:val="20"/>
        </w:rPr>
        <w:t xml:space="preserve">8. Backup, Restore, and Downtime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laboratory data record at [ORGANIZATION NAME] is attributable, traceable, and protected from undocumented alteration, wherever it is stored electronically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electronic laboratory record at [ORGANIZATION NAME] — test results, QC data, instrument logs, and any laboratory information system (LIS) or equivalent electronic record-keeping tool.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Audit trail — a documented record of every data event associated with a record: entries, edits, access, and electronic signatures — genuinely distinct from chain of custody, which tracks the physical journey of a specimen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ALCOA — the real, standard data integrity principle: data must be Attributable, Legible, Contemporaneous, Original, and Accurate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 laboratory needs both a chain of custody and an audit trail — they are not interchangeable and one does not substitute for the other. Chain of custody documents who physically handled a specimen and where it was stored; an audit trail documents every data event in the information system — entries, edits, access, and signatures [3].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The real, practical risk most laboratories face is uncontrolled data entry, overwriting a value without an audit trail, and third-party systems storing laboratory data outside the laboratory's own controlled system — each of these genuinely undermines defensibility, not merely tidiness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IT/Records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Technologist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Access control and audit trail configuration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Backup and downtime procedure testing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Daily data entry practice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Autoverification rule validation before release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Chain of Custody vs. Audit Trail</w:t>
      </w:r>
    </w:p>
    <w:p>
      <w:pPr>
        <w:spacing w:after="110" w:line="260"/>
      </w:pPr>
      <w:r>
        <w:rPr>
          <w:sz w:val="20"/>
          <w:szCs w:val="20"/>
        </w:rPr>
        <w:t xml:space="preserve">These govern genuinely different things, and a laboratory needs both, not one in place of the other [3]: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Chain of custody (governed by H-LAB-06) — the physical journey of a specimen: who handled it, where it was stored, how it was transferred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Audit trail (governed by this SOP) — every data event in the information system associated with that specimen's record: who entered a result, when, from what source, and whether it was later modified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The ALCOA Standard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7200"/>
      </w:tblGrid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Attributable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sz w:val="14"/>
                <w:szCs w:val="14"/>
              </w:rPr>
              <w:t xml:space="preserve">Every entry traceable to the specific person who made it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Legible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sz w:val="14"/>
                <w:szCs w:val="14"/>
              </w:rPr>
              <w:t xml:space="preserve">Genuinely readable, not merely present in the system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Contemporaneous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sz w:val="14"/>
                <w:szCs w:val="14"/>
              </w:rPr>
              <w:t xml:space="preserve">Recorded at the time the activity occurred, not reconstructed afterward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Original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first, source record — or a verified true copy, not a re-derived version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Accurate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sz w:val="14"/>
                <w:szCs w:val="14"/>
              </w:rPr>
              <w:t xml:space="preserve">A correct reflection of what actually happened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Every material data point is genuinely traceable: who entered it, when, from what source, and whether it was modified — this is the real, practical test of whether an audit trail exists, not merely whether a log file is present somewhere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Backup, Restore, and Downtime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Backup and restore procedures are documented and periodically tested — not assumed to work because a backup routine runs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>A defined downtime procedure (manual/paper fallback) exists and staff are trained on it, consistent with H-CC-04's business continuity requirements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Where autoverification (automatic release of results meeting defined criteria) is used, the autoverification rules themselves are validated before any result is released under them — not enabled by default without real testing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Audit trails are retained for the lifetime of the record they document, not a shorter administrative period — and remain readily available for review, not archived in a format that is effectively inaccessible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Access controls, roles, and electronic signatures for the LIS are documented and reviewed, consistent with HIPAA-equivalent protections for patient data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Backup restoration test success rate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Audit trail completeness, verified during internal audit (H-GOV-02)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Data entries traced to a specific individual and timestamp (target: 100%)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Reference Laboratory &amp; Send-Out Testing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Result Reporting, Verification &amp; Amendment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Business Continuity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[IT/RECORDS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[LAB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Accountable HQ. Clinical Laboratory Configuration Management — LIS access control, autoverification validation.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Onymos. Laboratory Compliance: A 2026 Guide for Clinical Labs — traceability of every material data point.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Freezerworks. Sample Management Audit Trails: A Compliance Guide — 21 CFR Part 11, ALCOA, chain-of-custody vs. audit-trail distinction.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Onymos. Laboratory Compliance: A 2026 Guide for Clinical Labs — real practical risks: uncontrolled entry, overwriting, third-party systems.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[IT/RECORDS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H-LAB-16-EN · Data Integrity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2026-09-14T15:36:28.787Z</dcterms:created>
  <dcterms:modified xsi:type="dcterms:W3CDTF">2026-09-14T15:36:28.787Z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