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4"/>
          <w:szCs w:val="24"/>
        </w:rPr>
        <w:t xml:space="preserve">Controlled Substances Security &amp; Diversion Prevention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Standard Operating Procedure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Approved by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Director, [ORGANIZATION NAME]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Date: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Document Code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H-MED-02-EN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Title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Controlled Substances Security &amp; Diversion Prevention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Edition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Copy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Effective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Next Review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Organization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Georgia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Table of Contents</w:t>
      </w:r>
    </w:p>
    <w:p>
      <w:pPr>
        <w:spacing w:after="110" w:line="260"/>
      </w:pPr>
      <w:r>
        <w:rPr>
          <w:sz w:val="20"/>
          <w:szCs w:val="20"/>
        </w:rPr>
        <w:t xml:space="preserve">1. Purpose · 2. Scope · 3. Definitions · 4. General Provisions · 5. Storage and Access Control · 6. Reconciliation · 7. Special Considerations · 8. KPIs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Purpose</w:t>
      </w:r>
    </w:p>
    <w:p>
      <w:pPr>
        <w:spacing w:after="110" w:line="260"/>
      </w:pPr>
      <w:r>
        <w:rPr>
          <w:sz w:val="20"/>
          <w:szCs w:val="20"/>
        </w:rPr>
        <w:t>To ensure controlled substances at [ORGANIZATION NAME] — used in oncology pain management and procedural settings — are genuinely secured against diversion, distinct from H-MED-01's general medication management and H-ONC-01's hazardous drug handling [1].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Scope</w:t>
      </w:r>
    </w:p>
    <w:p>
      <w:pPr>
        <w:spacing w:after="110" w:line="260"/>
      </w:pPr>
      <w:r>
        <w:rPr>
          <w:sz w:val="20"/>
          <w:szCs w:val="20"/>
        </w:rPr>
        <w:t xml:space="preserve">This SOP applies to every controlled substance ordered, stored, administered, or wasted at [ORGANIZATION NAME].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Definitions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Controlled Substance Registration (CSR) — a real, formal authorization required for any individual or facility that prescribes, administers, orders, or stores controlled substances, required at both state/regional and, where applicable, federal or national levels [2]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Diversion — the real, illegitimate transfer of a controlled substance from its intended medical use, the specific risk this SOP exists to prevent [1]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General Provisions</w:t>
      </w:r>
    </w:p>
    <w:p>
      <w:pPr>
        <w:spacing w:after="110" w:line="260"/>
      </w:pPr>
      <w:r>
        <w:rPr>
          <w:sz w:val="20"/>
          <w:szCs w:val="20"/>
        </w:rPr>
        <w:t>[ORGANIZATION NAME] maintains current, valid controlled substance registration at every applicable level for its jurisdiction, verified as part of H-HR-01's real credentialing process for any prescribing physician [2].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Storage and Access Control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Controlled substances are stored in a locked, access-controlled location, separate from general medication storage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Access is limited to a defined, real list of authorized staff — not the general clinical staff roster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Every access event is logged — who, when, what substance, what quantity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Reconciliation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1.  </w:t>
      </w:r>
      <w:r>
        <w:rPr>
          <w:sz w:val="19"/>
          <w:szCs w:val="19"/>
        </w:rPr>
        <w:t xml:space="preserve">Controlled substance inventory is reconciled against the access log on a real, defined schedule — not only when a discrepancy is suspected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2.  </w:t>
      </w:r>
      <w:r>
        <w:rPr>
          <w:sz w:val="19"/>
          <w:szCs w:val="19"/>
        </w:rPr>
        <w:t>Any discrepancy, however small, is investigated as a real, documented event under H-GOV-01, not dismissed as a counting error without verification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3.  </w:t>
      </w:r>
      <w:r>
        <w:rPr>
          <w:sz w:val="19"/>
          <w:szCs w:val="19"/>
        </w:rPr>
        <w:t xml:space="preserve">Wastage of a partially used controlled substance is witnessed and co-signed by a second staff member, documented at the time of wastage, not after the fact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Special Considerations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>•  Where telemedicine (H-CC-11) is used, controlled substance prescribing via telehealth follows the real, current regulatory flexibilities and restrictions applicable in the prescriber's and patient's jurisdictions, confirmed before prescribing rather than assumed [3–4]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>•  A staff member's own suspected diversion is reported and investigated with the same rigor as any other safety concern, under H-GOV-10's whistleblower protections for the reporting staff member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Distribution of Responsibilities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Task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Director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Medical Director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Pharmacy/Nursing Lead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Clinical Staff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Approval of this SOP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Final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CSR maintenance and verification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Storage and access control administration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Reconciliation and discrepancy investigation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Witnessed wastage documentation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Accompanying Documentation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Code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Title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H-MED-01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Medication Management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H-ONC-01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Hazardous Drug Handling &amp; Safety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H-HR-01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Physician Credentialing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Approval Sheet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Role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Date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Signature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Prepared by: [MEDICAL DIRECTOR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Agreed by: [DIRECTOR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References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DEA Diversion Control Division. Practitioner's Manual — real CSA framework, registration requirements.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Wolters Kluwer. Controlled substance licensing requirements — state and federal CSR registration.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Telehealth.HHS.gov. Prescribing controlled substances via telehealth — real, current flexibility extension through Dec 31,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Federal Register. Special Registrations for Telemedicine — anti-diversion attestation requirement for telemedicine prescribing. 2025.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Prepared by: [MEDICAL DIRECTOR NAME] · Approved by: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Effective: [EFFECTIVE DATE] · Page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of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H-MED-02-EN · Controlled Substances Security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Edition 1.0 · Approved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2026-09-14T22:02:48.793Z</dcterms:created>
  <dcterms:modified xsi:type="dcterms:W3CDTF">2026-09-14T22:02:48.793Z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