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6"/>
          <w:szCs w:val="26"/>
        </w:rPr>
        <w:t xml:space="preserve">Oncology-Specific Informed Consent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H-ONC-03-EN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Oncology-Specific Informed Consent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1st Edition — applicable only if on-site chemotherapy is confirmed (see H-CONSENT-01, Section 10)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Language Pair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Full parallel version of H-ONC-03-KA — same content, not a summary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Purpose · 2. Scope · 3. Definitions and Abbreviations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Relationship to General Informed Consent · 5. General Provisions · 6. Distribution of Responsibilities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7. What Must Be Disclosed · 8. Pre-Treatment Assessment (Every Encounter)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9. Re-Consent Triggers · 10. Special Considerations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11. Process Effectiveness Indicators (KPI) · 12. Accompanying Documentation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13.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To ensure every patient receiving chemotherapy at [ORGANIZATION NAME] gives genuinely informed consent specific to the real risks, uncertainties, and alternatives of antineoplastic therapy, consistent with the ASCO consent doctrine and the 2024 ASCO/ONS Antineoplastic Therapy Administration Safety Standards [1–3].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This SOP applies only where [ORGANIZATION NAME] administers chemotherapy on-site. It governs standard clinical care consent, not research or clinical trial consent, which is regulated separately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 and Abbreviations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Material risk — a risk serious or likely enough that a reasonable patient would want to know it before deciding [1–2]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Regimen — the specific combination, sequence, and schedule of antineoplastic agents prescribed, as distinct from any single drug within it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Relationship to General Informed Consent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>This SOP adds oncology-specific requirements on top of H-CONSENT-01 (General Informed Consent) — it does not replace the five-element standard (disclosure, capacity, understanding, voluntariness, authorization) already established there. Applicability of this entire document depends on the open Tier 5 scope question already flagged in H-ONC-01: whether chemotherapy is administered on-site.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General Provisions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The more serious or likely a risk or side effect, the more material it becomes to the patient's decision, and the more clearly it must be disclosed — this is not satisfied by handing over a drug package insert and calling it disclosure [1–2]. Where a proposed regimen is innovative, unproven, or outside standard practice, this is itself a material fact requiring disclosure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Oncologist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Nursing Staff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Quality Manager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Consent conversation and disclosure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Pre-treatment assessment, every encounter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Weight/height two-person verification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Consent documentation audit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What Must Be Disclosed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The specific regimen's real risks and side effects, at the level of materiality — not a generic “chemotherapy has side effects” statement [1–2]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Reasonable alternatives, including palliative care where clinically appropriate — a patient has the right to make a meaningful, personal choice, not only a choice between treatment options [1]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Genuine medical uncertainty, stated honestly rather than implied to be more certain than it is [1]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If the regimen is innovative, unproven, or outside standard practice, this fact itself, disclosed clearly [1]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Pre-Treatment Assessment (Every Encounter)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Consistent with the 2024 ASCO/ONS Safety Standards, the following six elements are assessed and documented at every treatment encounter, not only at the first [3]: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600"/>
        <w:gridCol w:w="64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Assessment Element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Required at Each Treatment Encounter</w:t>
            </w:r>
          </w:p>
        </w:tc>
      </w:tr>
      <w:tr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Functional/performance status</w:t>
            </w:r>
          </w:p>
        </w:tc>
        <w:tc>
          <w:tcPr>
            <w:tcW w:type="dxa" w:w="6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Assessed and documented before proceeding [3]</w:t>
            </w:r>
          </w:p>
        </w:tc>
      </w:tr>
      <w:tr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Vital signs</w:t>
            </w:r>
          </w:p>
        </w:tc>
        <w:tc>
          <w:tcPr>
            <w:tcW w:type="dxa" w:w="6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Assessed and documented before proceeding [3]</w:t>
            </w:r>
          </w:p>
        </w:tc>
      </w:tr>
      <w:tr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Allergies and prior treatment reactions</w:t>
            </w:r>
          </w:p>
        </w:tc>
        <w:tc>
          <w:tcPr>
            <w:tcW w:type="dxa" w:w="6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Reviewed before proceeding [3]</w:t>
            </w:r>
          </w:p>
        </w:tc>
      </w:tr>
      <w:tr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Treatment toxicities to date</w:t>
            </w:r>
          </w:p>
        </w:tc>
        <w:tc>
          <w:tcPr>
            <w:tcW w:type="dxa" w:w="6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Reviewed before proceeding [3]</w:t>
            </w:r>
          </w:p>
        </w:tc>
      </w:tr>
      <w:tr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Pain assessment</w:t>
            </w:r>
          </w:p>
        </w:tc>
        <w:tc>
          <w:tcPr>
            <w:tcW w:type="dxa" w:w="6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Assessed and documented before proceeding [3]</w:t>
            </w:r>
          </w:p>
        </w:tc>
      </w:tr>
      <w:tr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Weight and height</w:t>
            </w:r>
          </w:p>
        </w:tc>
        <w:tc>
          <w:tcPr>
            <w:tcW w:type="dxa" w:w="6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Measured in metric units and verified by two individuals, one a licensed clinician, before any newly prescribed regimen [3]</w:t>
            </w:r>
          </w:p>
        </w:tc>
      </w:tr>
    </w:tbl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The two-person weight/height verification exists because dosing is frequently weight- or body-surface-area-based — an error here is a real, direct medication-dosing error, not a paperwork formality [3].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Re-Consent Triggers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 change in regimen, dose escalation beyond the originally consented range, or a materially new risk identified during treatment each trigger a fresh consent conversation — the original consent does not silently extend to cover them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Pediatric oncology consent follows this SOP in addition to Tier 6's pediatric consent and guardian authorization requirements, not instead of them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 patient's decision to decline or discontinue treatment, including in favor of palliative care, is documented with the same care as a consent to proceed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Process Effectiveness Indicators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Consent documentation completeness, including palliative-care-alternative discussion where applicable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Six-element pre-treatment assessment completion rate, every encounter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Weight/height two-person verification compliance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H-CONSENT-01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General Informed Consent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H-ONC-01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Hazardous Drug Handling &amp; Safety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H-PED-01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Pediatric Consent &amp; Guardian Authorization (Tier 6)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13.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[ONCOLOGIST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[QUALITY MANAGER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NCBI (PMC). Informed Consent and Chemotherapy — ASCO consent doctrine, materiality, palliative care discussion.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ResearchGate. Informed Consent for Chemotherapy: ASCO Member Resources.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Guideline Central. ASCO/ONS Antineoplastic Therapy Administration Safety Standards for Adult and Pediatric Oncology, 2024.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[ONCOLOGIST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2"/>
              <w:szCs w:val="12"/>
            </w:rPr>
            <w:t xml:space="preserve">  ·  H-ONC-03-EN · Oncology Consent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Conditional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2026-09-14T01:12:18.007Z</dcterms:created>
  <dcterms:modified xsi:type="dcterms:W3CDTF">2026-09-14T01:12:18.015Z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