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Neutropenic Fever Protocol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H-ONC-05-EN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Neutropenic Fever Protocol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H-ONC-05-KA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Recognition · 7. The Ambulatory Reality — Recognize and Transfer</w:t>
      </w:r>
    </w:p>
    <w:p>
      <w:pPr>
        <w:spacing w:after="110" w:line="260"/>
      </w:pPr>
      <w:r>
        <w:rPr>
          <w:sz w:val="20"/>
          <w:szCs w:val="20"/>
        </w:rPr>
        <w:t xml:space="preserve">8. What Real Improvement Looks Like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>To ensure any patient presenting to [ORGANIZATION NAME] with suspected chemotherapy-induced neutropenic fever — a real oncologic emergency — is recognized immediately and transferred without delay, since this hospital cannot provide the inpatient management such patients typically require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any patient receiving or having recently received chemotherapy at [ORGANIZATION NAME] who presents with fever, whether during an infusion visit or a separate contact.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Neutropenic fever — ANC below 500/mm³ (or expected to decline below 500 within 48 hours), with fever ≥38°C sustained for ≥1 hour or ≥38.3°C on a single measurement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ANC — Absolute Neutrophil Count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Neutropenic fever is a real oncologic emergency: fever is often the only clinical sign of a serious underlying infection in a neutropenic patient, and a delay in antibiotic therapy genuinely increases mortality risk [3–4].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Medical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Nursing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Immediate recognition and vital signs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Urgent transfer decision and arrangement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Receiving facility communication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Recognition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Any patient on active chemotherapy presenting with fever is treated as a potential emergency from the first contact — not triaged as routine until proven otherwise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Real diagnostic criteria: ANC below 500/mm³ (or expected decline below 500 within 48 hours), with fever ≥38°C for ≥1 hour, or ≥38.3°C once [3]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ANC is typically unknown at initial presentation — recognition and urgent action are based on the real clinical picture (fever plus recent chemotherapy), not delayed pending a lab value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The Ambulatory Reality — Recognize and Transfer</w:t>
      </w:r>
    </w:p>
    <w:p>
      <w:pPr>
        <w:spacing w:after="110" w:line="260"/>
      </w:pPr>
      <w:r>
        <w:rPr>
          <w:sz w:val="20"/>
          <w:szCs w:val="20"/>
        </w:rPr>
        <w:t xml:space="preserve">[ORGANIZATION NAME] cannot admit and does not have the resources for full inpatient management of febrile neutropenia — the clinic's genuine role is fast recognition and immediate, urgent transfer to a hospital emergency department, not on-site antibiotic administration as primary management [1–2].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Start neutropenia precautions immediately upon recognition [3]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Arrange urgent transfer to the hospital emergency department without delay — call ahead so the receiving facility can prepare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If blood cultures can genuinely be obtained without delaying transfer, obtain them; transfer is never delayed to complete this step [3]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The real, standard benchmark is empiric antibiotics within 60 minutes of presentation — this clinic's contribution to that benchmark is minimizing the time from recognition here to arrival at definitive care, not attempting to meet the 60-minute mark on-site [1, 4–6].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What Real Improvement Looks Like</w:t>
      </w:r>
    </w:p>
    <w:p>
      <w:pPr>
        <w:spacing w:after="110" w:line="260"/>
      </w:pPr>
      <w:r>
        <w:rPr>
          <w:sz w:val="20"/>
          <w:szCs w:val="20"/>
        </w:rPr>
        <w:t xml:space="preserve">A real, documented quality improvement project reduced average door-to-antibiotic time from 255 minutes to 49 minutes through specific, concrete changes: improved triage, an electronic chemotherapy alert, and a direct hotline from nursing to pharmacy — demonstrating this is a genuinely solvable process problem, not an unavoidable delay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patient meeting real low-risk criteria (per a validated tool such as MASCC or CISNE) may be appropriate for outpatient management at a facility equipped for it — [ORGANIZATION NAME] does not perform this risk stratification independently and defaults to transfer unless explicitly directed otherwise by the medical director [7]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central venous access device (port), if present, is documented and communicated to the receiving facility, since it is a real, additional infection risk factor [8]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Time from recognition to transfer arrangement initiated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Neutropenia precautions initiated immediately upon recognition (target: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Receiving facility pre-notification completed for every transfer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Emergency Preparedness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H-ONC-01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Hazardous Drug Handling &amp; Safety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[ONCOLOGY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Global Journal on Quality and Safety in Healthcare. Improving Door-to-Antibiotic Administration Time in Patients With Fever and Suspected Chemotherapy-Induced Neutropenia — 255-to-49-minute real improvement case. 2019.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Oncology Nursing Society (CJON). Febrile Neutropenia: Decreasing Time to Antibiotic Administration — 1-hour guideline, oncologic emergency framing.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AMBOSS. Neutropenic fever — real diagnostic criteria, 1-hour empiric antibiotic standard.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PMC. The epidemiology and outcomes of adult cancer patients with suspected neutropenic fever in the emergency department — sepsis mortality association.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medRxiv. A Quality Improvement Initiative: Improving Time-to-Antibiotics for Pediatric Oncology Patients — ANC unknown at presentation.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ClinicalTrials.gov (ASTERIC Trial). Antibiotic Stewardship in Suspected Neutropenic Fever — door-to-antibiotic time target regardless of ANC.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USPharmacist. Prevention and Treatment of Chemotherapy-Induced Febrile Neutropenia in Adults — low-risk outpatient management criteria, MASCC/CISNE.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[8] </w:t>
      </w:r>
      <w:r>
        <w:rPr>
          <w:sz w:val="15"/>
          <w:szCs w:val="15"/>
        </w:rPr>
        <w:t xml:space="preserve">medRxiv. A Quality Improvement Initiative — central venous access device infection risk.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[MEDICAL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H-ONC-05-EN · Neutropenic Fever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2026-09-14T20:03:10.011Z</dcterms:created>
  <dcterms:modified xsi:type="dcterms:W3CDTF">2026-09-14T20:03:10.012Z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