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6"/>
          <w:szCs w:val="26"/>
        </w:rPr>
        <w:t xml:space="preserve">პედიატრიული დოზირების უსაფრთხოება</w:t>
      </w:r>
    </w:p>
    <w:p>
      <w:pPr>
        <w:spacing w:after="180" w:before="0"/>
        <w:jc w:val="center"/>
      </w:pPr>
      <w:r>
        <w:rPr>
          <w:i/>
          <w:iCs/>
          <w:color w:val="6B778C"/>
          <w:sz w:val="18"/>
          <w:szCs w:val="18"/>
        </w:rPr>
        <w:t xml:space="preserve">სტანდარტული ოპერაციული პროცედურა</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ვამტკიცებ</w:t>
            </w:r>
          </w:p>
          <w:p>
            <w:pPr>
              <w:spacing w:after="20"/>
            </w:pPr>
            <w:r>
              <w:rPr>
                <w:sz w:val="16"/>
                <w:szCs w:val="16"/>
              </w:rPr>
              <w:t xml:space="preserve">[ORGANIZATION NAME]-ს დირექტორი</w:t>
            </w:r>
          </w:p>
          <w:p>
            <w:pPr>
              <w:spacing w:after="20"/>
            </w:pPr>
            <w:r>
              <w:rPr>
                <w:sz w:val="16"/>
                <w:szCs w:val="16"/>
              </w:rPr>
              <w:t xml:space="preserve">[DIRECTOR NAME] ______________________</w:t>
            </w:r>
          </w:p>
          <w:p>
            <w:r>
              <w:rPr>
                <w:sz w:val="16"/>
                <w:szCs w:val="16"/>
              </w:rPr>
              <w:t xml:space="preserve">თარიღი: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დოკუმენტის კოდი</w:t>
            </w:r>
          </w:p>
        </w:tc>
        <w:tc>
          <w:tcPr>
            <w:tcW w:type="dxa" w:w="6100"/>
            <w:tcMar>
              <w:top w:type="dxa" w:w="80"/>
              <w:left w:type="dxa" w:w="130"/>
              <w:bottom w:type="dxa" w:w="80"/>
              <w:right w:type="dxa" w:w="90"/>
            </w:tcMar>
            <w:vAlign w:val="center"/>
          </w:tcPr>
          <w:p>
            <w:r>
              <w:rPr>
                <w:color w:val="1A1A1A"/>
                <w:sz w:val="16"/>
                <w:szCs w:val="16"/>
              </w:rPr>
              <w:t>H-PED-02-KA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დასახელება</w:t>
            </w:r>
          </w:p>
        </w:tc>
        <w:tc>
          <w:tcPr>
            <w:tcW w:type="dxa" w:w="6100"/>
            <w:tcMar>
              <w:top w:type="dxa" w:w="80"/>
              <w:left w:type="dxa" w:w="130"/>
              <w:bottom w:type="dxa" w:w="80"/>
              <w:right w:type="dxa" w:w="90"/>
            </w:tcMar>
            <w:vAlign w:val="center"/>
          </w:tcPr>
          <w:p>
            <w:r>
              <w:rPr>
                <w:color w:val="1A1A1A"/>
                <w:sz w:val="16"/>
                <w:szCs w:val="16"/>
              </w:rPr>
              <w:t xml:space="preserve">პედიატრიული დოზირების უსაფრთხოება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გამოცემა</w:t>
            </w:r>
          </w:p>
        </w:tc>
        <w:tc>
          <w:tcPr>
            <w:tcW w:type="dxa" w:w="6100"/>
            <w:tcMar>
              <w:top w:type="dxa" w:w="80"/>
              <w:left w:type="dxa" w:w="130"/>
              <w:bottom w:type="dxa" w:w="80"/>
              <w:right w:type="dxa" w:w="90"/>
            </w:tcMar>
            <w:vAlign w:val="center"/>
          </w:tcPr>
          <w:p>
            <w:r>
              <w:rPr>
                <w:color w:val="1A1A1A"/>
                <w:sz w:val="16"/>
                <w:szCs w:val="16"/>
              </w:rPr>
              <w:t xml:space="preserve">1-ლი გამოცემა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ეგზ.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ძალაში შესვლის თარიღი</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შემდეგი გადახედვის თარიღი</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ორგანიზაცია</w:t>
            </w:r>
          </w:p>
        </w:tc>
        <w:tc>
          <w:tcPr>
            <w:tcW w:type="dxa" w:w="6100"/>
            <w:tcMar>
              <w:top w:type="dxa" w:w="80"/>
              <w:left w:type="dxa" w:w="130"/>
              <w:bottom w:type="dxa" w:w="80"/>
              <w:right w:type="dxa" w:w="90"/>
            </w:tcMar>
            <w:vAlign w:val="center"/>
          </w:tcPr>
          <w:p>
            <w:r>
              <w:rPr>
                <w:color w:val="1A1A1A"/>
                <w:sz w:val="16"/>
                <w:szCs w:val="16"/>
              </w:rPr>
              <w:t xml:space="preserve">[ORGANIZATION NAME], საქართველო</w:t>
            </w:r>
          </w:p>
        </w:tc>
      </w:tr>
    </w:tbl>
    <w:p>
      <w:pPr>
        <w:pBdr>
          <w:bottom w:val="single" w:color="D8DEE8" w:sz="6"/>
        </w:pBdr>
        <w:spacing w:after="180" w:before="60"/>
      </w:pPr>
    </w:p>
    <w:p>
      <w:pPr>
        <w:pStyle w:val="Heading1"/>
        <w:spacing w:after="120" w:before="240"/>
      </w:pPr>
      <w:r>
        <w:rPr>
          <w:b/>
          <w:bCs/>
          <w:color w:val="0E2647"/>
          <w:sz w:val="24"/>
          <w:szCs w:val="24"/>
        </w:rPr>
        <w:t xml:space="preserve">სარჩევი</w:t>
      </w:r>
    </w:p>
    <w:p>
      <w:pPr>
        <w:spacing w:after="110" w:line="260"/>
      </w:pPr>
      <w:r>
        <w:rPr>
          <w:b w:val="false"/>
          <w:bCs w:val="false"/>
          <w:i w:val="false"/>
          <w:iCs w:val="false"/>
          <w:sz w:val="20"/>
          <w:szCs w:val="20"/>
        </w:rPr>
        <w:t xml:space="preserve">1. მიზანი · 2. მოქმედების სფერო · 3. განმარტებები და შემოკლებები</w:t>
      </w:r>
    </w:p>
    <w:p>
      <w:pPr>
        <w:spacing w:after="110" w:line="260"/>
      </w:pPr>
      <w:r>
        <w:rPr>
          <w:b w:val="false"/>
          <w:bCs w:val="false"/>
          <w:i w:val="false"/>
          <w:iCs w:val="false"/>
          <w:sz w:val="20"/>
          <w:szCs w:val="20"/>
        </w:rPr>
        <w:t xml:space="preserve">4. ზოგადი დებულებები · 5. პასუხისმგებლობების განაწილება</w:t>
      </w:r>
    </w:p>
    <w:p>
      <w:pPr>
        <w:spacing w:after="110" w:line="260"/>
      </w:pPr>
      <w:r>
        <w:rPr>
          <w:b w:val="false"/>
          <w:bCs w:val="false"/>
          <w:i w:val="false"/>
          <w:iCs w:val="false"/>
          <w:sz w:val="20"/>
          <w:szCs w:val="20"/>
        </w:rPr>
        <w:t xml:space="preserve">6. წონის დოკუმენტირება · 7. ორმაგი ზღვრის შემოწმება</w:t>
      </w:r>
    </w:p>
    <w:p>
      <w:pPr>
        <w:spacing w:after="110" w:line="260"/>
      </w:pPr>
      <w:r>
        <w:rPr>
          <w:b w:val="false"/>
          <w:bCs w:val="false"/>
          <w:i w:val="false"/>
          <w:iCs w:val="false"/>
          <w:sz w:val="20"/>
          <w:szCs w:val="20"/>
        </w:rPr>
        <w:t xml:space="preserve">8. დამოუკიდებელი გადამოწმება · 9. განსაკუთრებული პირობები</w:t>
      </w:r>
    </w:p>
    <w:p>
      <w:pPr>
        <w:spacing w:after="110" w:line="260"/>
      </w:pPr>
      <w:r>
        <w:rPr>
          <w:b w:val="false"/>
          <w:bCs w:val="false"/>
          <w:i w:val="false"/>
          <w:iCs w:val="false"/>
          <w:sz w:val="20"/>
          <w:szCs w:val="20"/>
        </w:rPr>
        <w:t xml:space="preserve">10. პროცესის ეფექტურობის მაჩვენებლები (KPI) · 11. თანმხლები დოკუმენტაცია</w:t>
      </w:r>
    </w:p>
    <w:p>
      <w:pPr>
        <w:spacing w:after="110" w:line="260"/>
      </w:pPr>
      <w:r>
        <w:rPr>
          <w:b w:val="false"/>
          <w:bCs w:val="false"/>
          <w:i w:val="false"/>
          <w:iCs w:val="false"/>
          <w:sz w:val="20"/>
          <w:szCs w:val="20"/>
        </w:rPr>
        <w:t xml:space="preserve">12. შეთანხმების ფურცელი · წყაროები</w:t>
      </w:r>
    </w:p>
    <w:p>
      <w:pPr>
        <w:pStyle w:val="Heading1"/>
        <w:spacing w:after="120" w:before="240"/>
      </w:pPr>
      <w:r>
        <w:rPr>
          <w:b/>
          <w:bCs/>
          <w:color w:val="0E2647"/>
          <w:sz w:val="24"/>
          <w:szCs w:val="24"/>
        </w:rPr>
        <w:t xml:space="preserve">1. მიზანი</w:t>
      </w:r>
    </w:p>
    <w:p>
      <w:pPr>
        <w:spacing w:after="110" w:line="260"/>
      </w:pPr>
      <w:r>
        <w:rPr>
          <w:b w:val="false"/>
          <w:bCs w:val="false"/>
          <w:i w:val="false"/>
          <w:iCs w:val="false"/>
          <w:sz w:val="20"/>
          <w:szCs w:val="20"/>
        </w:rPr>
        <w:t xml:space="preserve">[ORGANIZATION NAME]-ში ყოველი პედიატრიული მედიკამენტის დოზის სწორად გამოთვლისა და მიცემამდე გადამოწმების უზრუნველყოფა, იმის გათვალისწინებით, რომ პედიატრიული არასასურველი წამლის მოვლენები დაახლოებით სამჯერ უფრო ხშირად ხდება, ვიდრე ზრდასრულებში, ხოლო პედიატრიული მედიკამენტების შეცდომების მნიშვნელოვანი უმეტესობა კონკრეტულად დოზირების გამოთვლას მიეწერება, არა პრეპარატის შერჩევას [1–3].</w:t>
      </w:r>
    </w:p>
    <w:p>
      <w:pPr>
        <w:pStyle w:val="Heading1"/>
        <w:spacing w:after="120" w:before="240"/>
      </w:pPr>
      <w:r>
        <w:rPr>
          <w:b/>
          <w:bCs/>
          <w:color w:val="0E2647"/>
          <w:sz w:val="24"/>
          <w:szCs w:val="24"/>
        </w:rPr>
        <w:t xml:space="preserve">2. მოქმედების სფერო</w:t>
      </w:r>
    </w:p>
    <w:p>
      <w:pPr>
        <w:spacing w:after="110" w:line="260"/>
      </w:pPr>
      <w:r>
        <w:rPr>
          <w:b w:val="false"/>
          <w:bCs w:val="false"/>
          <w:i w:val="false"/>
          <w:iCs w:val="false"/>
          <w:sz w:val="20"/>
          <w:szCs w:val="20"/>
        </w:rPr>
        <w:t>წინამდებარე პროცედურა ვრცელდება [ORGANIZATION NAME]-ში პედიატრიული პაციენტისთვის გამოთვლილ ან მიცემულ ყოველ წონაზე-დაფუძნებულ მედიკამენტის დოზაზე. ის ემატება, და არასდროს ცვლის, მედიკამენტების მართვის პროცედურას (H-MED-01).</w:t>
      </w:r>
    </w:p>
    <w:p>
      <w:pPr>
        <w:pStyle w:val="Heading1"/>
        <w:spacing w:after="120" w:before="240"/>
      </w:pPr>
      <w:r>
        <w:rPr>
          <w:b/>
          <w:bCs/>
          <w:color w:val="0E2647"/>
          <w:sz w:val="24"/>
          <w:szCs w:val="24"/>
        </w:rPr>
        <w:t xml:space="preserve">3. განმარტებები და შემოკლებები</w:t>
      </w:r>
    </w:p>
    <w:p>
      <w:pPr>
        <w:spacing w:after="70" w:line="245"/>
        <w:ind w:left="260" w:hanging="180"/>
      </w:pPr>
      <w:r>
        <w:rPr>
          <w:sz w:val="19"/>
          <w:szCs w:val="19"/>
        </w:rPr>
        <w:t xml:space="preserve">•  წონაზე-დაფუძნებული დოზირება — დოზის გამოთვლა მგ/კგ-ში, პაციენტის რეალურ, მიმდინარე წონაზე დაფუძნებით კილოგრამებში, სტანდარტული მიდგომა პედიატრიულ მედიცინაში [4]</w:t>
      </w:r>
    </w:p>
    <w:p>
      <w:pPr>
        <w:spacing w:after="70" w:line="245"/>
        <w:ind w:left="260" w:hanging="180"/>
      </w:pPr>
      <w:r>
        <w:rPr>
          <w:sz w:val="19"/>
          <w:szCs w:val="19"/>
        </w:rPr>
        <w:t xml:space="preserve">•  ორმაგი ზღვრის შემოწმება — გამოთვლილი წონაზე-დაფუძნებული დოზის შემოწმება როგორც პედიატრიული მგ/კგ სახელმძღვანელოსთან, ასევე ზრდასრულის მაქსიმალურ დოზასთან, ვინაიდან ზრდასრულის ზღვრის გადაჭარბება შესაძლებელია, თუნდაც წონაზე გამოთვლა სწორია [5]</w:t>
      </w:r>
    </w:p>
    <w:p>
      <w:pPr>
        <w:pStyle w:val="Heading1"/>
        <w:spacing w:after="120" w:before="240"/>
      </w:pPr>
      <w:r>
        <w:rPr>
          <w:b/>
          <w:bCs/>
          <w:color w:val="0E2647"/>
          <w:sz w:val="24"/>
          <w:szCs w:val="24"/>
        </w:rPr>
        <w:t xml:space="preserve">4. ზოგადი დებულებები</w:t>
      </w:r>
    </w:p>
    <w:p>
      <w:pPr>
        <w:spacing w:after="110" w:line="260"/>
      </w:pPr>
      <w:r>
        <w:rPr>
          <w:b w:val="false"/>
          <w:bCs w:val="false"/>
          <w:i w:val="false"/>
          <w:iCs w:val="false"/>
          <w:sz w:val="20"/>
          <w:szCs w:val="20"/>
        </w:rPr>
        <w:t xml:space="preserve">ბავშვების ორგანიზმი განსხვავებულად ამუშავებს, ანაწილებს და გამოყოფს მედიკამენტებს, ვიდრე ზრდასრულის, და პრაქტიკულად ყოველი პედიატრიული დოზა უნდა გამოითვალოს ინდივიდუალურად, ზრდასრულთა სტანდარტული სიძლიერეების მცირე ნაკრებიდან შერჩევის ნაცვლად [4, 6]. პედიატრიული მედიკამენტების შეცდომების მნიშვნელოვანი უმეტესობა — რეალური მონაცემები აჩვენებს დაახლოებით 80%-ს — მიეწერება კონკრეტულად დოზირების გამოთვლის უზუსტობებს, არა პრეპარატის შერჩევის ან დროის შეცდომებს [3].</w:t>
      </w:r>
    </w:p>
    <w:p>
      <w:pPr>
        <w:pStyle w:val="Heading1"/>
        <w:spacing w:after="120" w:before="240"/>
      </w:pPr>
      <w:r>
        <w:rPr>
          <w:b/>
          <w:bCs/>
          <w:color w:val="0E2647"/>
          <w:sz w:val="24"/>
          <w:szCs w:val="24"/>
        </w:rPr>
        <w:t xml:space="preserve">5. პასუხისმგებლობების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დავალება</w:t>
            </w:r>
          </w:p>
        </w:tc>
        <w:tc>
          <w:tcPr>
            <w:shd w:fill="0E2647" w:val="clear"/>
            <w:tcMar>
              <w:top w:type="dxa" w:w="70"/>
              <w:left w:type="dxa" w:w="80"/>
              <w:bottom w:type="dxa" w:w="70"/>
              <w:right w:type="dxa" w:w="70"/>
            </w:tcMar>
          </w:tcPr>
          <w:p>
            <w:pPr>
              <w:jc w:val="center"/>
            </w:pPr>
            <w:r>
              <w:rPr>
                <w:b/>
                <w:bCs/>
                <w:color w:val="FFFFFF"/>
                <w:sz w:val="13"/>
                <w:szCs w:val="13"/>
              </w:rPr>
              <w:t xml:space="preserve">დირექტორი</w:t>
            </w:r>
          </w:p>
        </w:tc>
        <w:tc>
          <w:tcPr>
            <w:shd w:fill="0E2647" w:val="clear"/>
            <w:tcMar>
              <w:top w:type="dxa" w:w="70"/>
              <w:left w:type="dxa" w:w="80"/>
              <w:bottom w:type="dxa" w:w="70"/>
              <w:right w:type="dxa" w:w="70"/>
            </w:tcMar>
          </w:tcPr>
          <w:p>
            <w:pPr>
              <w:jc w:val="center"/>
            </w:pPr>
            <w:r>
              <w:rPr>
                <w:b/>
                <w:bCs/>
                <w:color w:val="FFFFFF"/>
                <w:sz w:val="13"/>
                <w:szCs w:val="13"/>
              </w:rPr>
              <w:t xml:space="preserve">პედიატრიის ხელმძღვანელი</w:t>
            </w:r>
          </w:p>
        </w:tc>
        <w:tc>
          <w:tcPr>
            <w:shd w:fill="0E2647" w:val="clear"/>
            <w:tcMar>
              <w:top w:type="dxa" w:w="70"/>
              <w:left w:type="dxa" w:w="80"/>
              <w:bottom w:type="dxa" w:w="70"/>
              <w:right w:type="dxa" w:w="70"/>
            </w:tcMar>
          </w:tcPr>
          <w:p>
            <w:pPr>
              <w:jc w:val="center"/>
            </w:pPr>
            <w:r>
              <w:rPr>
                <w:b/>
                <w:bCs/>
                <w:color w:val="FFFFFF"/>
                <w:sz w:val="13"/>
                <w:szCs w:val="13"/>
              </w:rPr>
              <w:t xml:space="preserve">ექიმი</w:t>
            </w:r>
          </w:p>
        </w:tc>
        <w:tc>
          <w:tcPr>
            <w:shd w:fill="0E2647" w:val="clear"/>
            <w:tcMar>
              <w:top w:type="dxa" w:w="70"/>
              <w:left w:type="dxa" w:w="80"/>
              <w:bottom w:type="dxa" w:w="70"/>
              <w:right w:type="dxa" w:w="70"/>
            </w:tcMar>
          </w:tcPr>
          <w:p>
            <w:pPr>
              <w:jc w:val="center"/>
            </w:pPr>
            <w:r>
              <w:rPr>
                <w:b/>
                <w:bCs/>
                <w:color w:val="FFFFFF"/>
                <w:sz w:val="13"/>
                <w:szCs w:val="13"/>
              </w:rPr>
              <w:t xml:space="preserve">საექთნო პერსონალი</w:t>
            </w:r>
          </w:p>
        </w:tc>
      </w:tr>
      <w:tr>
        <w:tc>
          <w:tcPr>
            <w:tcMar>
              <w:top w:type="dxa" w:w="70"/>
              <w:left w:type="dxa" w:w="80"/>
              <w:bottom w:type="dxa" w:w="70"/>
              <w:right w:type="dxa" w:w="70"/>
            </w:tcMar>
            <w:vAlign w:val="center"/>
          </w:tcPr>
          <w:p>
            <w:pPr>
              <w:jc w:val="left"/>
            </w:pPr>
            <w:r>
              <w:rPr>
                <w:b/>
                <w:bCs/>
                <w:sz w:val="14"/>
                <w:szCs w:val="14"/>
              </w:rPr>
              <w:t xml:space="preserve">ინსტრუქციის დამტკიცება</w:t>
            </w:r>
          </w:p>
        </w:tc>
        <w:tc>
          <w:tcPr>
            <w:tcMar>
              <w:top w:type="dxa" w:w="70"/>
              <w:left w:type="dxa" w:w="80"/>
              <w:bottom w:type="dxa" w:w="70"/>
              <w:right w:type="dxa" w:w="70"/>
            </w:tcMar>
            <w:vAlign w:val="center"/>
          </w:tcPr>
          <w:p>
            <w:pPr>
              <w:jc w:val="center"/>
            </w:pPr>
            <w:r>
              <w:rPr>
                <w:b w:val="false"/>
                <w:bCs w:val="false"/>
                <w:sz w:val="15"/>
                <w:szCs w:val="15"/>
              </w:rPr>
              <w:t xml:space="preserve">საბოლოო</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წონის დოკუმენტირება, ყოველი ვიზიტი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r>
      <w:tr>
        <w:tc>
          <w:tcPr>
            <w:tcMar>
              <w:top w:type="dxa" w:w="70"/>
              <w:left w:type="dxa" w:w="80"/>
              <w:bottom w:type="dxa" w:w="70"/>
              <w:right w:type="dxa" w:w="70"/>
            </w:tcMar>
            <w:vAlign w:val="center"/>
          </w:tcPr>
          <w:p>
            <w:pPr>
              <w:jc w:val="left"/>
            </w:pPr>
            <w:r>
              <w:rPr>
                <w:b/>
                <w:bCs/>
                <w:sz w:val="14"/>
                <w:szCs w:val="14"/>
              </w:rPr>
              <w:t xml:space="preserve">საწყისი დოზის გამოთვლა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დამოუკიდებელი გადამოწმება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დოზირების შეცდომის გამოძიება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ინფორმირებული</w:t>
            </w:r>
          </w:p>
        </w:tc>
      </w:tr>
    </w:tbl>
    <w:p>
      <w:pPr>
        <w:pStyle w:val="Heading1"/>
        <w:spacing w:after="120" w:before="240"/>
      </w:pPr>
      <w:r>
        <w:rPr>
          <w:b/>
          <w:bCs/>
          <w:color w:val="0E2647"/>
          <w:sz w:val="24"/>
          <w:szCs w:val="24"/>
        </w:rPr>
        <w:t xml:space="preserve">6. წონის დოკუმენტირება</w:t>
      </w:r>
    </w:p>
    <w:p>
      <w:pPr>
        <w:pBdr>
          <w:left w:val="single" w:color="C0392B" w:sz="16" w:space="10"/>
        </w:pBdr>
        <w:shd w:fill="FDECEC" w:val="clear"/>
        <w:spacing w:after="160" w:before="110"/>
      </w:pPr>
      <w:r>
        <w:rPr>
          <w:b/>
          <w:bCs/>
          <w:i/>
          <w:iCs/>
          <w:color w:val="7B241C"/>
          <w:sz w:val="18"/>
          <w:szCs w:val="18"/>
        </w:rPr>
        <w:t xml:space="preserve">წონა დოკუმენტირდება კილოგრამებში, გაზომილი ვიზიტისას, არასდროს ნაფიქრები ან წინა ჩანაწერიდან გადმოტანილი — რეალური უსაფრთხოების მონაცემები პირდაპირ უკავშირებს არაზუსტ ან ნაკლულ წონის დოკუმენტაციას პაციენტამდე მიღწეულ დოზირების შეცდომებთან [7].</w:t>
      </w:r>
    </w:p>
    <w:p>
      <w:pPr>
        <w:spacing w:after="70" w:line="245"/>
        <w:ind w:left="260" w:hanging="180"/>
      </w:pPr>
      <w:r>
        <w:rPr>
          <w:sz w:val="19"/>
          <w:szCs w:val="19"/>
        </w:rPr>
        <w:t xml:space="preserve">•  წონა ფიქსირდება კილოგრამებში, თავად მედიკამენტის დანიშნულებაზე, არა მხოლოდ ზოგად ბარათში [6]</w:t>
      </w:r>
    </w:p>
    <w:p>
      <w:pPr>
        <w:spacing w:after="70" w:line="245"/>
        <w:ind w:left="260" w:hanging="180"/>
      </w:pPr>
      <w:r>
        <w:rPr>
          <w:sz w:val="19"/>
          <w:szCs w:val="19"/>
        </w:rPr>
        <w:t xml:space="preserve">•  წონა ხელახლა ფასდება ყოველ ვიზიტზე მზარდი ბავშვისთვის, და დოზა ხელახლა გამოითვლება დაუყოვნებლივ, თუ წონა შეიცვალა 10%-ზე მეტით ბოლო გამოთვლის შემდეგ [8]</w:t>
      </w:r>
    </w:p>
    <w:p>
      <w:pPr>
        <w:spacing w:after="70" w:line="245"/>
        <w:ind w:left="260" w:hanging="180"/>
      </w:pPr>
      <w:r>
        <w:rPr>
          <w:sz w:val="19"/>
          <w:szCs w:val="19"/>
        </w:rPr>
        <w:t xml:space="preserve">•  ქრონიკული მედიკამენტისთვის, დოზირება ხელახლა ფასდება მინიმუმ ყოველ 3–6 თვეში ბავშვის ზრდასთან ერთად, კონკრეტული წონის-ცვლილების ტრიგერის გარეშეც [8]</w:t>
      </w:r>
    </w:p>
    <w:p>
      <w:pPr>
        <w:pStyle w:val="Heading1"/>
        <w:spacing w:after="120" w:before="240"/>
      </w:pPr>
      <w:r>
        <w:rPr>
          <w:b/>
          <w:bCs/>
          <w:color w:val="0E2647"/>
          <w:sz w:val="24"/>
          <w:szCs w:val="24"/>
        </w:rPr>
        <w:t xml:space="preserve">7. ორმაგი ზღვრის შემოწმება</w:t>
      </w:r>
    </w:p>
    <w:p>
      <w:pPr>
        <w:spacing w:after="110" w:line="260"/>
      </w:pPr>
      <w:r>
        <w:rPr>
          <w:b w:val="false"/>
          <w:bCs w:val="false"/>
          <w:i w:val="false"/>
          <w:iCs w:val="false"/>
          <w:sz w:val="20"/>
          <w:szCs w:val="20"/>
        </w:rPr>
        <w:t xml:space="preserve">წონაზე-დაფუძნებული მგ/კგ გამოთვლა მოწმდება ორ რეალურ ზღვართან, არა ერთთან: პედიატრიული მგ/კგ სახელმძღვანელოსთან და ზრდასრულის მაქსიმალურ ყოველდღიურ დოზასთან [5].</w:t>
      </w:r>
    </w:p>
    <w:p>
      <w:pPr>
        <w:spacing w:after="90" w:line="255"/>
        <w:ind w:left="340" w:hanging="340"/>
      </w:pPr>
      <w:r>
        <w:rPr>
          <w:b/>
          <w:bCs/>
          <w:color w:val="0E2647"/>
          <w:sz w:val="19"/>
          <w:szCs w:val="19"/>
        </w:rPr>
        <w:t xml:space="preserve">ნაბიჯი 1.  </w:t>
      </w:r>
      <w:r>
        <w:rPr>
          <w:sz w:val="19"/>
          <w:szCs w:val="19"/>
        </w:rPr>
        <w:t xml:space="preserve">გამოთვალეთ დოზა პაციენტის მიმდინარე წონის (კგ) და შესაბამისი მგ/კგ სახელმძღვანელოს გამოყენებით</w:t>
      </w:r>
    </w:p>
    <w:p>
      <w:pPr>
        <w:spacing w:after="90" w:line="255"/>
        <w:ind w:left="340" w:hanging="340"/>
      </w:pPr>
      <w:r>
        <w:rPr>
          <w:b/>
          <w:bCs/>
          <w:color w:val="0E2647"/>
          <w:sz w:val="19"/>
          <w:szCs w:val="19"/>
        </w:rPr>
        <w:t xml:space="preserve">ნაბიჯი 2.  </w:t>
      </w:r>
      <w:r>
        <w:rPr>
          <w:sz w:val="19"/>
          <w:szCs w:val="19"/>
        </w:rPr>
        <w:t xml:space="preserve">შეადარეთ მიღებული ჯამური დოზა ამ მედიკამენტის ზრდასრულის მაქსიმალურ დოზასთან — მათემატიკურად სწორი წონაზე გამოთვლა უფრო დიდი ან უფროსი ასაკის ბავშვისთვის მაინც შეიძლება აღემატებოდეს ამ ზღვარს [5]</w:t>
      </w:r>
    </w:p>
    <w:p>
      <w:pPr>
        <w:spacing w:after="90" w:line="255"/>
        <w:ind w:left="340" w:hanging="340"/>
      </w:pPr>
      <w:r>
        <w:rPr>
          <w:b/>
          <w:bCs/>
          <w:color w:val="0E2647"/>
          <w:sz w:val="19"/>
          <w:szCs w:val="19"/>
        </w:rPr>
        <w:t xml:space="preserve">ნაბიჯი 3.  </w:t>
      </w:r>
      <w:r>
        <w:rPr>
          <w:sz w:val="19"/>
          <w:szCs w:val="19"/>
        </w:rPr>
        <w:t xml:space="preserve">თუ გამოთვლილი დოზა უახლოვდება ან აღემატება ზრდასრულის მაქსიმუმს, გადაამოწმეთ ექიმთან გაგრძელებამდე, ავტომატურად გამოთვლილი მაჩვენებლის მიცემის ნაცვლად</w:t>
      </w:r>
    </w:p>
    <w:p>
      <w:pPr>
        <w:pBdr>
          <w:left w:val="single" w:color="C9A227" w:sz="16" w:space="10"/>
        </w:pBdr>
        <w:shd w:fill="FFF8E7" w:val="clear"/>
        <w:spacing w:after="160" w:before="110"/>
      </w:pPr>
      <w:r>
        <w:rPr>
          <w:i/>
          <w:iCs/>
          <w:color w:val="5C4A0A"/>
          <w:sz w:val="18"/>
          <w:szCs w:val="18"/>
        </w:rPr>
        <w:t xml:space="preserve">დოზირების შეცდომა ყოველთვის არ არის აშკარად არასწორი რიცხვი — არასწორად განთავსებული ათწილადი წერტილი (მაგ., 1.0 მგ წაკითხული როგორც 10 მგ) შეიძლება მოხვდეს ზრდასრულის ნორმალურ დოზირების დიაპაზონში და შეუმჩნეველი დარჩეს შემოწმებით, რომელიც მხოლოდ ზრდასრულის ნორმებთან ადარებს [9].</w:t>
      </w:r>
    </w:p>
    <w:p>
      <w:pPr>
        <w:pStyle w:val="Heading1"/>
        <w:spacing w:after="120" w:before="240"/>
      </w:pPr>
      <w:r>
        <w:rPr>
          <w:b/>
          <w:bCs/>
          <w:color w:val="0E2647"/>
          <w:sz w:val="24"/>
          <w:szCs w:val="24"/>
        </w:rPr>
        <w:t xml:space="preserve">8. დამოუკიდებელი გადამოწმება</w:t>
      </w:r>
    </w:p>
    <w:p>
      <w:pPr>
        <w:spacing w:after="110" w:line="260"/>
      </w:pPr>
      <w:r>
        <w:rPr>
          <w:b w:val="false"/>
          <w:bCs w:val="false"/>
          <w:i w:val="false"/>
          <w:iCs w:val="false"/>
          <w:sz w:val="20"/>
          <w:szCs w:val="20"/>
        </w:rPr>
        <w:t>ყოველი პედიატრიული წონაზე-დაფუძნებული დოზისთვის — და კონკრეტულად ნებისმიერი მაღალი რისკის მედიკამენტისთვის H-MED-01-ის მიხედვით — ორი კლინიცისტი დამოუკიდებლად ითვლის და ამოწმებს დოზას მიცემამდე, რეალური „ორი წყვილი თვალის“ პრინციპის შესაბამისად [8]. მეორე კლინიცისტი ითვლის დამოუკიდებლად, არა უბრალოდ პირველი კლინიცისტის რიცხვის დადასტურებით.</w:t>
      </w:r>
    </w:p>
    <w:p>
      <w:pPr>
        <w:pStyle w:val="Heading1"/>
        <w:spacing w:after="120" w:before="240"/>
      </w:pPr>
      <w:r>
        <w:rPr>
          <w:b/>
          <w:bCs/>
          <w:color w:val="0E2647"/>
          <w:sz w:val="24"/>
          <w:szCs w:val="24"/>
        </w:rPr>
        <w:t xml:space="preserve">9. განსაკუთრებული პირობები</w:t>
      </w:r>
    </w:p>
    <w:p>
      <w:pPr>
        <w:spacing w:after="70" w:line="245"/>
        <w:ind w:left="260" w:hanging="180"/>
      </w:pPr>
      <w:r>
        <w:rPr>
          <w:sz w:val="19"/>
          <w:szCs w:val="19"/>
        </w:rPr>
        <w:t xml:space="preserve">•  დოზირების ჩანაწერი თავს არიდებს ორაზროვან შემოკლებას („მგ/კგ/დ“) და ანიჭებს უპირატესობას მკაფიო განცხადებას („მგ ერთ კგ-ზე დღეში“), ჯამური ყოველდღიური დოზისა და ერთჯერადი დოზის რაოდენობას შორის აღრევის თავიდან ასაცილებლად [8]</w:t>
      </w:r>
    </w:p>
    <w:p>
      <w:pPr>
        <w:spacing w:after="70" w:line="245"/>
        <w:ind w:left="260" w:hanging="180"/>
      </w:pPr>
      <w:r>
        <w:rPr>
          <w:sz w:val="19"/>
          <w:szCs w:val="19"/>
        </w:rPr>
        <w:t xml:space="preserve">•  სადაც გამოიყენება ელექტრონული გამოთვლის ხელსაწყო, მისი შედეგი მხოლოდ იმდენად საიმედოა, რამდენადაც შეყვანილი წონა — ხელსაწყო არ ცვლის დამოუკიდებელ გადამოწმებას [8]</w:t>
      </w:r>
    </w:p>
    <w:p>
      <w:pPr>
        <w:pStyle w:val="Heading1"/>
        <w:spacing w:after="120" w:before="240"/>
      </w:pPr>
      <w:r>
        <w:rPr>
          <w:b/>
          <w:bCs/>
          <w:color w:val="0E2647"/>
          <w:sz w:val="24"/>
          <w:szCs w:val="24"/>
        </w:rPr>
        <w:t xml:space="preserve">10. პროცესის ეფექტურობის მაჩვენებლები (KPI)</w:t>
      </w:r>
    </w:p>
    <w:p>
      <w:pPr>
        <w:spacing w:after="70" w:line="245"/>
        <w:ind w:left="260" w:hanging="180"/>
      </w:pPr>
      <w:r>
        <w:rPr>
          <w:sz w:val="19"/>
          <w:szCs w:val="19"/>
        </w:rPr>
        <w:t xml:space="preserve">•  წონის დოკუმენტირების სისრულე (კგ, მიმდინარე ვიზიტი) ყოველი პედიატრიული მედიკამენტის დანიშნულებისთვის</w:t>
      </w:r>
    </w:p>
    <w:p>
      <w:pPr>
        <w:spacing w:after="70" w:line="245"/>
        <w:ind w:left="260" w:hanging="180"/>
      </w:pPr>
      <w:r>
        <w:rPr>
          <w:sz w:val="19"/>
          <w:szCs w:val="19"/>
        </w:rPr>
        <w:t xml:space="preserve">•  დამოუკიდებელი გადამოწმების შესაბამისობა პედიატრიული დოზებისთვის</w:t>
      </w:r>
    </w:p>
    <w:p>
      <w:pPr>
        <w:spacing w:after="70" w:line="245"/>
        <w:ind w:left="260" w:hanging="180"/>
      </w:pPr>
      <w:r>
        <w:rPr>
          <w:sz w:val="19"/>
          <w:szCs w:val="19"/>
        </w:rPr>
        <w:t xml:space="preserve">•  პაციენტამდე მიღწევამდე დაჭერილი დოზირების შეცდომები, თვალყურის დევნებული როგორც წამყვანი უსაფრთხოების მაჩვენებელი</w:t>
      </w:r>
    </w:p>
    <w:p>
      <w:pPr>
        <w:pStyle w:val="Heading1"/>
        <w:spacing w:after="120" w:before="240"/>
      </w:pPr>
      <w:r>
        <w:rPr>
          <w:b/>
          <w:bCs/>
          <w:color w:val="0E2647"/>
          <w:sz w:val="24"/>
          <w:szCs w:val="24"/>
        </w:rPr>
        <w:t xml:space="preserve">11. თანმხლები დოკუმენტაცია</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აღნიშვნა</w:t>
            </w:r>
          </w:p>
        </w:tc>
        <w:tc>
          <w:tcPr>
            <w:tcMar>
              <w:top w:type="dxa" w:w="70"/>
              <w:left w:type="dxa" w:w="100"/>
              <w:bottom w:type="dxa" w:w="70"/>
              <w:right w:type="dxa" w:w="90"/>
            </w:tcMar>
            <w:vAlign w:val="center"/>
          </w:tcPr>
          <w:p>
            <w:r>
              <w:rPr>
                <w:b w:val="false"/>
                <w:bCs w:val="false"/>
                <w:sz w:val="15"/>
                <w:szCs w:val="15"/>
              </w:rPr>
              <w:t xml:space="preserve">დასახელება</w:t>
            </w:r>
          </w:p>
        </w:tc>
      </w:tr>
      <w:tr>
        <w:tc>
          <w:tcPr>
            <w:tcMar>
              <w:top w:type="dxa" w:w="70"/>
              <w:left w:type="dxa" w:w="100"/>
              <w:bottom w:type="dxa" w:w="70"/>
              <w:right w:type="dxa" w:w="90"/>
            </w:tcMar>
            <w:vAlign w:val="center"/>
          </w:tcPr>
          <w:p>
            <w:r>
              <w:rPr>
                <w:b/>
                <w:bCs/>
                <w:sz w:val="15"/>
                <w:szCs w:val="15"/>
              </w:rPr>
              <w:t>H-MED-01</w:t>
            </w:r>
          </w:p>
        </w:tc>
        <w:tc>
          <w:tcPr>
            <w:tcMar>
              <w:top w:type="dxa" w:w="70"/>
              <w:left w:type="dxa" w:w="100"/>
              <w:bottom w:type="dxa" w:w="70"/>
              <w:right w:type="dxa" w:w="90"/>
            </w:tcMar>
            <w:vAlign w:val="center"/>
          </w:tcPr>
          <w:p>
            <w:r>
              <w:rPr>
                <w:b w:val="false"/>
                <w:bCs w:val="false"/>
                <w:sz w:val="15"/>
                <w:szCs w:val="15"/>
              </w:rPr>
              <w:t xml:space="preserve">მედიკამენტების მართვა</w:t>
            </w:r>
          </w:p>
        </w:tc>
      </w:tr>
      <w:tr>
        <w:tc>
          <w:tcPr>
            <w:tcMar>
              <w:top w:type="dxa" w:w="70"/>
              <w:left w:type="dxa" w:w="100"/>
              <w:bottom w:type="dxa" w:w="70"/>
              <w:right w:type="dxa" w:w="90"/>
            </w:tcMar>
            <w:vAlign w:val="center"/>
          </w:tcPr>
          <w:p>
            <w:r>
              <w:rPr>
                <w:b/>
                <w:bCs/>
                <w:sz w:val="15"/>
                <w:szCs w:val="15"/>
              </w:rPr>
              <w:t>H-PED-01</w:t>
            </w:r>
          </w:p>
        </w:tc>
        <w:tc>
          <w:tcPr>
            <w:tcMar>
              <w:top w:type="dxa" w:w="70"/>
              <w:left w:type="dxa" w:w="100"/>
              <w:bottom w:type="dxa" w:w="70"/>
              <w:right w:type="dxa" w:w="90"/>
            </w:tcMar>
            <w:vAlign w:val="center"/>
          </w:tcPr>
          <w:p>
            <w:r>
              <w:rPr>
                <w:b w:val="false"/>
                <w:bCs w:val="false"/>
                <w:sz w:val="15"/>
                <w:szCs w:val="15"/>
              </w:rPr>
              <w:t xml:space="preserve">პედიატრიული თანხმობა და მეურვის ავტორიზაცია</w:t>
            </w:r>
          </w:p>
        </w:tc>
      </w:tr>
      <w:tr>
        <w:tc>
          <w:tcPr>
            <w:tcMar>
              <w:top w:type="dxa" w:w="70"/>
              <w:left w:type="dxa" w:w="100"/>
              <w:bottom w:type="dxa" w:w="70"/>
              <w:right w:type="dxa" w:w="90"/>
            </w:tcMar>
            <w:vAlign w:val="center"/>
          </w:tcPr>
          <w:p>
            <w:r>
              <w:rPr>
                <w:b/>
                <w:bCs/>
                <w:sz w:val="15"/>
                <w:szCs w:val="15"/>
              </w:rPr>
              <w:t>H-PS-02</w:t>
            </w:r>
          </w:p>
        </w:tc>
        <w:tc>
          <w:tcPr>
            <w:tcMar>
              <w:top w:type="dxa" w:w="70"/>
              <w:left w:type="dxa" w:w="100"/>
              <w:bottom w:type="dxa" w:w="70"/>
              <w:right w:type="dxa" w:w="90"/>
            </w:tcMar>
            <w:vAlign w:val="center"/>
          </w:tcPr>
          <w:p>
            <w:r>
              <w:rPr>
                <w:b w:val="false"/>
                <w:bCs w:val="false"/>
                <w:sz w:val="15"/>
                <w:szCs w:val="15"/>
              </w:rPr>
              <w:t xml:space="preserve">კლინიკური ინციდენტების შეტყობინება</w:t>
            </w:r>
          </w:p>
        </w:tc>
      </w:tr>
    </w:tbl>
    <w:p>
      <w:pPr>
        <w:pStyle w:val="Heading1"/>
        <w:spacing w:after="120" w:before="240"/>
      </w:pPr>
      <w:r>
        <w:rPr>
          <w:b/>
          <w:bCs/>
          <w:color w:val="0E2647"/>
          <w:sz w:val="24"/>
          <w:szCs w:val="24"/>
        </w:rPr>
        <w:t xml:space="preserve">12. შეთანხმების ფურცელი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როლი</w:t>
            </w:r>
          </w:p>
        </w:tc>
        <w:tc>
          <w:tcPr>
            <w:tcMar>
              <w:top w:type="dxa" w:w="70"/>
              <w:left w:type="dxa" w:w="100"/>
              <w:bottom w:type="dxa" w:w="70"/>
              <w:right w:type="dxa" w:w="90"/>
            </w:tcMar>
            <w:vAlign w:val="center"/>
          </w:tcPr>
          <w:p>
            <w:r>
              <w:rPr>
                <w:b w:val="false"/>
                <w:bCs w:val="false"/>
                <w:sz w:val="15"/>
                <w:szCs w:val="15"/>
              </w:rPr>
              <w:t xml:space="preserve">თარიღი</w:t>
            </w:r>
          </w:p>
        </w:tc>
        <w:tc>
          <w:tcPr>
            <w:tcMar>
              <w:top w:type="dxa" w:w="70"/>
              <w:left w:type="dxa" w:w="100"/>
              <w:bottom w:type="dxa" w:w="70"/>
              <w:right w:type="dxa" w:w="90"/>
            </w:tcMar>
            <w:vAlign w:val="center"/>
          </w:tcPr>
          <w:p>
            <w:r>
              <w:rPr>
                <w:b w:val="false"/>
                <w:bCs w:val="false"/>
                <w:sz w:val="15"/>
                <w:szCs w:val="15"/>
              </w:rPr>
              <w:t xml:space="preserve">ხელმოწერა</w:t>
            </w:r>
          </w:p>
        </w:tc>
      </w:tr>
      <w:tr>
        <w:tc>
          <w:tcPr>
            <w:tcMar>
              <w:top w:type="dxa" w:w="70"/>
              <w:left w:type="dxa" w:w="100"/>
              <w:bottom w:type="dxa" w:w="70"/>
              <w:right w:type="dxa" w:w="90"/>
            </w:tcMar>
            <w:vAlign w:val="center"/>
          </w:tcPr>
          <w:p>
            <w:r>
              <w:rPr>
                <w:b/>
                <w:bCs/>
                <w:sz w:val="15"/>
                <w:szCs w:val="15"/>
              </w:rPr>
              <w:t xml:space="preserve">შემუშავებულია: [პედიატრიის ხელმძღვანელის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შეთანხმებულია: [ხარისხის მენეჯერის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წყაროები</w:t>
      </w:r>
    </w:p>
    <w:p>
      <w:pPr>
        <w:spacing w:after="90" w:line="230"/>
        <w:ind w:left="320" w:hanging="320"/>
      </w:pPr>
      <w:r>
        <w:rPr>
          <w:b/>
          <w:bCs/>
          <w:color w:val="0E2647"/>
          <w:sz w:val="15"/>
          <w:szCs w:val="15"/>
        </w:rPr>
        <w:t xml:space="preserve">[1] </w:t>
      </w:r>
      <w:r>
        <w:rPr>
          <w:sz w:val="15"/>
          <w:szCs w:val="15"/>
        </w:rPr>
        <w:t xml:space="preserve">Best practice implementation project. Independent double-checking of high-risk medications among hospitalized pediatric patients. PubMed, 2026.</w:t>
      </w:r>
    </w:p>
    <w:p>
      <w:pPr>
        <w:spacing w:after="90" w:line="230"/>
        <w:ind w:left="320" w:hanging="320"/>
      </w:pPr>
      <w:r>
        <w:rPr>
          <w:b/>
          <w:bCs/>
          <w:color w:val="0E2647"/>
          <w:sz w:val="15"/>
          <w:szCs w:val="15"/>
        </w:rPr>
        <w:t xml:space="preserve">[2] </w:t>
      </w:r>
      <w:r>
        <w:rPr>
          <w:sz w:val="15"/>
          <w:szCs w:val="15"/>
        </w:rPr>
        <w:t xml:space="preserve">WHO. Medication Safety in High-Risk Situations. WHO, 2019.</w:t>
      </w:r>
    </w:p>
    <w:p>
      <w:pPr>
        <w:spacing w:after="90" w:line="230"/>
        <w:ind w:left="320" w:hanging="320"/>
      </w:pPr>
      <w:r>
        <w:rPr>
          <w:b/>
          <w:bCs/>
          <w:color w:val="0E2647"/>
          <w:sz w:val="15"/>
          <w:szCs w:val="15"/>
        </w:rPr>
        <w:t xml:space="preserve">[3] </w:t>
      </w:r>
      <w:r>
        <w:rPr>
          <w:sz w:val="15"/>
          <w:szCs w:val="15"/>
        </w:rPr>
        <w:t xml:space="preserve">FDB. Pediatric Dosing Errors Poster — დოზირების შეცდომების 80% გამოთვლის უზუსტობებს მიეწერება.</w:t>
      </w:r>
    </w:p>
    <w:p>
      <w:pPr>
        <w:spacing w:after="90" w:line="230"/>
        <w:ind w:left="320" w:hanging="320"/>
      </w:pPr>
      <w:r>
        <w:rPr>
          <w:b/>
          <w:bCs/>
          <w:color w:val="0E2647"/>
          <w:sz w:val="15"/>
          <w:szCs w:val="15"/>
        </w:rPr>
        <w:t xml:space="preserve">[4] </w:t>
      </w:r>
      <w:r>
        <w:rPr>
          <w:sz w:val="15"/>
          <w:szCs w:val="15"/>
        </w:rPr>
        <w:t xml:space="preserve">Fronzuto Law Group. Pediatric Medication Errors: children are not merely small adults. 2026.</w:t>
      </w:r>
    </w:p>
    <w:p>
      <w:pPr>
        <w:spacing w:after="90" w:line="230"/>
        <w:ind w:left="320" w:hanging="320"/>
      </w:pPr>
      <w:r>
        <w:rPr>
          <w:b/>
          <w:bCs/>
          <w:color w:val="0E2647"/>
          <w:sz w:val="15"/>
          <w:szCs w:val="15"/>
        </w:rPr>
        <w:t xml:space="preserve">[5] </w:t>
      </w:r>
      <w:r>
        <w:rPr>
          <w:sz w:val="15"/>
          <w:szCs w:val="15"/>
        </w:rPr>
        <w:t xml:space="preserve">NCBI Bookshelf. Methodological Challenges in Describing Medication Dosing Errors in Children — ორმაგი მგ/კგ და ზრდასრულის მაქსიმუმის შემოწმება.</w:t>
      </w:r>
    </w:p>
    <w:p>
      <w:pPr>
        <w:spacing w:after="90" w:line="230"/>
        <w:ind w:left="320" w:hanging="320"/>
      </w:pPr>
      <w:r>
        <w:rPr>
          <w:b/>
          <w:bCs/>
          <w:color w:val="0E2647"/>
          <w:sz w:val="15"/>
          <w:szCs w:val="15"/>
        </w:rPr>
        <w:t xml:space="preserve">[6] </w:t>
      </w:r>
      <w:r>
        <w:rPr>
          <w:sz w:val="15"/>
          <w:szCs w:val="15"/>
        </w:rPr>
        <w:t xml:space="preserve">Contemporary Pediatrics. Safety First: How to Avoid Missteps When Prescribing Medications — AAP-ის წონის დოკუმენტირების რეკომენდაცია. 2026.</w:t>
      </w:r>
    </w:p>
    <w:p>
      <w:pPr>
        <w:spacing w:after="90" w:line="230"/>
        <w:ind w:left="320" w:hanging="320"/>
      </w:pPr>
      <w:r>
        <w:rPr>
          <w:b/>
          <w:bCs/>
          <w:color w:val="0E2647"/>
          <w:sz w:val="15"/>
          <w:szCs w:val="15"/>
        </w:rPr>
        <w:t xml:space="preserve">[7] </w:t>
      </w:r>
      <w:r>
        <w:rPr>
          <w:sz w:val="15"/>
          <w:szCs w:val="15"/>
        </w:rPr>
        <w:t xml:space="preserve">Pennsylvania Patient Safety Authority. Medication Errors: Significance of Accurate Patient Weights.</w:t>
      </w:r>
    </w:p>
    <w:p>
      <w:pPr>
        <w:spacing w:after="90" w:line="230"/>
        <w:ind w:left="320" w:hanging="320"/>
      </w:pPr>
      <w:r>
        <w:rPr>
          <w:b/>
          <w:bCs/>
          <w:color w:val="0E2647"/>
          <w:sz w:val="15"/>
          <w:szCs w:val="15"/>
        </w:rPr>
        <w:t xml:space="preserve">[8] </w:t>
      </w:r>
      <w:r>
        <w:rPr>
          <w:sz w:val="15"/>
          <w:szCs w:val="15"/>
        </w:rPr>
        <w:t xml:space="preserve">Pediatric Medication Dosing: Mastering Weight-Based Calculations for Safety — ორმაგი გადამოწმება, ხელახალი გამოთვლის ინტერვალები, ISMP ჩანაწერის სტანდარტი. 2026.</w:t>
      </w:r>
    </w:p>
    <w:p>
      <w:pPr>
        <w:spacing w:after="90" w:line="230"/>
        <w:ind w:left="320" w:hanging="320"/>
      </w:pPr>
      <w:r>
        <w:rPr>
          <w:b/>
          <w:bCs/>
          <w:color w:val="0E2647"/>
          <w:sz w:val="15"/>
          <w:szCs w:val="15"/>
        </w:rPr>
        <w:t xml:space="preserve">[9] </w:t>
      </w:r>
      <w:r>
        <w:rPr>
          <w:sz w:val="15"/>
          <w:szCs w:val="15"/>
        </w:rPr>
        <w:t xml:space="preserve">NCBI Bookshelf. Methodological Challenges in Describing Medication Dosing Errors in Children — ათწილადი წერტილის არასწორად წაკითხვის მაგალითი.</w:t>
      </w:r>
    </w:p>
    <w:p>
      <w:pPr>
        <w:spacing w:before="200"/>
      </w:pPr>
    </w:p>
    <w:p>
      <w:pPr>
        <w:pBdr>
          <w:left w:val="single" w:color="C9A227" w:sz="16" w:space="10"/>
        </w:pBdr>
        <w:shd w:fill="FFF8E7" w:val="clear"/>
        <w:spacing w:after="160" w:before="110"/>
      </w:pPr>
      <w:r>
        <w:rPr>
          <w:i/>
          <w:iCs/>
          <w:color w:val="5C4A0A"/>
          <w:sz w:val="18"/>
          <w:szCs w:val="18"/>
        </w:rPr>
        <w:t xml:space="preserve">შენიშვნა: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მომზადებულია: [პედიატრიის ხელმძღვანელის სახელი] · დამტკიცებულია: [დირექტორის სახელი]</w:t>
    </w:r>
    <w:r>
      <w:rPr>
        <w:sz w:val="12"/>
        <w:szCs w:val="12"/>
      </w:rPr>
      <w:t xml:space="preserve">	</w:t>
    </w:r>
    <w:r>
      <w:rPr>
        <w:color w:val="6B778C"/>
        <w:sz w:val="12"/>
        <w:szCs w:val="12"/>
      </w:rPr>
      <w:t xml:space="preserve">ძალაში: [EFFECTIVE DATE] · გვ. </w:t>
    </w:r>
    <w:r>
      <w:rPr>
        <w:color w:val="6B778C"/>
        <w:sz w:val="12"/>
        <w:szCs w:val="12"/>
      </w:rPr>
      <w:fldChar w:fldCharType="begin"/>
      <w:instrText xml:space="preserve">PAGE</w:instrText>
      <w:fldChar w:fldCharType="separate"/>
      <w:fldChar w:fldCharType="end"/>
    </w:r>
    <w:r>
      <w:rPr>
        <w:color w:val="6B778C"/>
        <w:sz w:val="12"/>
        <w:szCs w:val="12"/>
      </w:rPr>
      <w:t xml:space="preserve"> /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0"/>
              <w:szCs w:val="10"/>
            </w:rPr>
            <w:t xml:space="preserve">  ·  H-PED-02-KA · პედიატრიული დოზირება</w:t>
          </w:r>
        </w:p>
      </w:tc>
      <w:tc>
        <w:tcPr>
          <w:tcW w:type="dxa" w:w="3550"/>
          <w:tcMar>
            <w:top w:type="dxa" w:w="40"/>
            <w:left w:type="dxa" w:w="0"/>
            <w:bottom w:type="dxa" w:w="40"/>
            <w:right w:type="dxa" w:w="0"/>
          </w:tcMar>
          <w:vAlign w:val="center"/>
        </w:tcPr>
        <w:p>
          <w:pPr>
            <w:jc w:val="right"/>
          </w:pPr>
          <w:r>
            <w:rPr>
              <w:color w:val="6B778C"/>
              <w:sz w:val="12"/>
              <w:szCs w:val="12"/>
            </w:rPr>
            <w:t xml:space="preserve">გამოცემა 1.0 · დამტკიცებული</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2026-09-14T12:37:03.410Z</dcterms:created>
  <dcterms:modified xsi:type="dcterms:W3CDTF">2026-09-14T12:37:03.417Z</dcterms:modified>
</cp:coreProperties>
</file>

<file path=docProps/custom.xml><?xml version="1.0" encoding="utf-8"?>
<Properties xmlns="http://schemas.openxmlformats.org/officeDocument/2006/custom-properties" xmlns:vt="http://schemas.openxmlformats.org/officeDocument/2006/docPropsVTypes"/>
</file>