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Patient Rights &amp; Responsibilities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Patient Rights &amp; Responsibilities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H-PR-01-KA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Patient Rights · 7. Patient Responsibilities</w:t>
      </w:r>
    </w:p>
    <w:p>
      <w:pPr>
        <w:spacing w:after="110" w:line="260"/>
      </w:pPr>
      <w:r>
        <w:rPr>
          <w:sz w:val="20"/>
          <w:szCs w:val="20"/>
        </w:rPr>
        <w:t xml:space="preserve">8. Representative Designation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patient at [ORGANIZATION NAME] is informed of their real rights and responsibilities in a language and manner they genuinely understand, consistent with real conditions of participation and Title VI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Vital document — a document real HHS guidance identifies as requiring translation for significant limited-English-proficient populations, including patient rights and responsibilities materials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Patient's rights information is provided in a language and manner the patient genuinely understands — this is a real, stated expectation under Title VI compliance guidance, not a courtesy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Rights/responsibilities document translation and posting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the document at first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Honoring rights in day-to-day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Rights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receive care regardless of race, color, national origin, age, disability, or sex, consistent with real Title VI protections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real language assistance, free of charge, and to be informed how to request it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designate a representative for communication and decision-making purposes, honored unless prohibited by applicable law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right to informed consent, privacy, and access to their own medical record, consistent with H-HIM-01 and H-CONSENT-01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file a complaint about care or about language access specifically, without fear of care being affected as a result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Patient Responsibilities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Providing accurate, complete health information to the care team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Asking questions when instructions or information are not understood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Following the agreed treatment plan or communicating when it cannot be followed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Representative Designation</w:t>
      </w:r>
    </w:p>
    <w:p>
      <w:pPr>
        <w:spacing w:after="110" w:line="260"/>
      </w:pPr>
      <w:r>
        <w:rPr>
          <w:sz w:val="20"/>
          <w:szCs w:val="20"/>
        </w:rPr>
        <w:t xml:space="preserve">[ORGANIZATION NAME] takes reasonable steps to determine a patient's wishes concerning designation of a representative, consistent with real CMS guidance — whether communicated orally to staff or in writing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Patient Rights &amp; Responsibilities document is among the real, specific vital documents requiring translation for significant LEP populations — not treated as optional or lower-priority than other translated materials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complaint concerning language access specifically is handled under H-CC-03 with the same rigor as any other patient complaint, not a separate, lesser process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Patients provided the rights/responsibilities document at first encounter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 available in the real, required languages for [ORGANIZATION NAME]'s patient population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Complaints Handling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 Manual System. Hospital Conditions of Participation §482.11 — Title VI, patient rights language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 Manual System. Hospital Conditions of Participation — representative designation.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Link Translations. Language Access Compliance for Healthcare Organizations — vital documents list, 5%/1,000 threshold.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CCHI. Language Access Requirements — free language assistance, complaint process, Title VI.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H-PR-01-EN · Patient Rights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2026-09-14T20:32:51.961Z</dcterms:created>
  <dcterms:modified xsi:type="dcterms:W3CDTF">2026-09-14T20:32:51.961Z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