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Clinical Incident &amp; Adverse Event Reporting</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H-PS-02-EN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Clinical Incident &amp; Adverse Event Reporting</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H-PS-02-KA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Classification of Events · 7. Reporting Steps</w:t>
      </w:r>
    </w:p>
    <w:p>
      <w:pPr>
        <w:spacing w:after="110" w:line="260"/>
      </w:pPr>
      <w:r>
        <w:rPr>
          <w:b w:val="false"/>
          <w:bCs w:val="false"/>
          <w:i w:val="false"/>
          <w:iCs w:val="false"/>
          <w:sz w:val="20"/>
          <w:szCs w:val="20"/>
        </w:rPr>
        <w:t xml:space="preserve">8. Just Culture — How Responses Are Determined · 9. Investigation and Corrective Action</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clinical incident, adverse event, and near miss at [ORGANIZATION NAME] is reported, classified, investigated, and used to genuinely improve safety — consistent with WHO's patient safety incident reporting framework and the real, documented principles of Just Culture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event at [ORGANIZATION NAME] that affected, or could have affected, patient safety — across general consultation, laboratory, oncology, and pediatric care — regardless of whether harm actually occurred.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Near miss — an error with the potential to cause an adverse event, but which did not, because of chance or because it was intercepted before reaching the patient [1]</w:t>
      </w:r>
    </w:p>
    <w:p>
      <w:pPr>
        <w:spacing w:after="70" w:line="245"/>
        <w:ind w:left="260" w:hanging="180"/>
      </w:pPr>
      <w:r>
        <w:rPr>
          <w:sz w:val="19"/>
          <w:szCs w:val="19"/>
        </w:rPr>
        <w:t xml:space="preserve">•  No-harm event — an event that reached the patient but caused no harm</w:t>
      </w:r>
    </w:p>
    <w:p>
      <w:pPr>
        <w:spacing w:after="70" w:line="245"/>
        <w:ind w:left="260" w:hanging="180"/>
      </w:pPr>
      <w:r>
        <w:rPr>
          <w:sz w:val="19"/>
          <w:szCs w:val="19"/>
        </w:rPr>
        <w:t xml:space="preserve">•  Adverse event — a patient safety event that resulted in actual harm</w:t>
      </w:r>
    </w:p>
    <w:p>
      <w:pPr>
        <w:spacing w:after="70" w:line="245"/>
        <w:ind w:left="260" w:hanging="180"/>
      </w:pPr>
      <w:r>
        <w:rPr>
          <w:sz w:val="19"/>
          <w:szCs w:val="19"/>
        </w:rPr>
        <w:t xml:space="preserve">•  Sentinel event — the most severe classification: an event resulting in death, permanent harm, or severe temporary harm requiring intervention to sustain life</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Near misses genuinely outnumber adverse events by a wide margin — real safety literature estimates between 3 and 300 near misses for every actual adverse event — which makes near-miss reporting one of the most valuable, and most commonly underreported, sources of safety learning available [4–5]. [ORGANIZATION NAME] treats a near miss as seriously as it treats an event that reached the patient, since both reveal the same underlying system weakness.</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c>
          <w:tcPr>
            <w:shd w:fill="0E2647" w:val="clear"/>
            <w:tcMar>
              <w:top w:type="dxa" w:w="70"/>
              <w:left w:type="dxa" w:w="80"/>
              <w:bottom w:type="dxa" w:w="70"/>
              <w:right w:type="dxa" w:w="70"/>
            </w:tcMar>
          </w:tcPr>
          <w:p>
            <w:pPr>
              <w:jc w:val="center"/>
            </w:pPr>
            <w:r>
              <w:rPr>
                <w:b/>
                <w:bCs/>
                <w:color w:val="FFFFFF"/>
                <w:sz w:val="13"/>
                <w:szCs w:val="13"/>
              </w:rPr>
              <w:t xml:space="preserve">Reporting Individual</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Event classification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Reporting any event, near miss included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Investigation and root cause analysis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Sentinel event escalation</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Classification of Events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4"/>
                <w:szCs w:val="14"/>
              </w:rPr>
              <w:t xml:space="preserve">Classification</w:t>
            </w:r>
          </w:p>
        </w:tc>
        <w:tc>
          <w:tcPr>
            <w:shd w:fill="0E2647" w:val="clear"/>
            <w:tcMar>
              <w:top w:type="dxa" w:w="80"/>
              <w:left w:type="dxa" w:w="100"/>
              <w:bottom w:type="dxa" w:w="80"/>
              <w:right w:type="dxa" w:w="80"/>
            </w:tcMar>
          </w:tcPr>
          <w:p>
            <w:r>
              <w:rPr>
                <w:b/>
                <w:bCs/>
                <w:color w:val="FFFFFF"/>
                <w:sz w:val="14"/>
                <w:szCs w:val="14"/>
              </w:rPr>
              <w:t xml:space="preserve">Definition</w:t>
            </w:r>
          </w:p>
        </w:tc>
        <w:tc>
          <w:tcPr>
            <w:shd w:fill="0E2647" w:val="clear"/>
            <w:tcMar>
              <w:top w:type="dxa" w:w="80"/>
              <w:left w:type="dxa" w:w="100"/>
              <w:bottom w:type="dxa" w:w="80"/>
              <w:right w:type="dxa" w:w="80"/>
            </w:tcMar>
          </w:tcPr>
          <w:p>
            <w:r>
              <w:rPr>
                <w:b/>
                <w:bCs/>
                <w:color w:val="FFFFFF"/>
                <w:sz w:val="14"/>
                <w:szCs w:val="14"/>
              </w:rPr>
              <w:t xml:space="preserve">Response</w:t>
            </w:r>
          </w:p>
        </w:tc>
      </w:tr>
      <w:tr>
        <w:tc>
          <w:tcPr>
            <w:tcW w:type="dxa" w:w="2200"/>
            <w:tcMar>
              <w:top w:type="dxa" w:w="80"/>
              <w:left w:type="dxa" w:w="100"/>
              <w:bottom w:type="dxa" w:w="80"/>
              <w:right w:type="dxa" w:w="80"/>
            </w:tcMar>
            <w:vAlign w:val="center"/>
          </w:tcPr>
          <w:p>
            <w:r>
              <w:rPr>
                <w:b/>
                <w:bCs/>
                <w:sz w:val="15"/>
                <w:szCs w:val="15"/>
              </w:rPr>
              <w:t xml:space="preserve">Near miss</w:t>
            </w:r>
          </w:p>
        </w:tc>
        <w:tc>
          <w:tcPr>
            <w:tcW w:type="dxa" w:w="3700"/>
            <w:tcMar>
              <w:top w:type="dxa" w:w="80"/>
              <w:left w:type="dxa" w:w="100"/>
              <w:bottom w:type="dxa" w:w="80"/>
              <w:right w:type="dxa" w:w="80"/>
            </w:tcMar>
            <w:vAlign w:val="center"/>
          </w:tcPr>
          <w:p>
            <w:r>
              <w:rPr>
                <w:sz w:val="14"/>
                <w:szCs w:val="14"/>
              </w:rPr>
              <w:t xml:space="preserve">Intercepted before reaching the patient [1]</w:t>
            </w:r>
          </w:p>
        </w:tc>
        <w:tc>
          <w:tcPr>
            <w:tcW w:type="dxa" w:w="2600"/>
            <w:tcMar>
              <w:top w:type="dxa" w:w="80"/>
              <w:left w:type="dxa" w:w="100"/>
              <w:bottom w:type="dxa" w:w="80"/>
              <w:right w:type="dxa" w:w="80"/>
            </w:tcMar>
            <w:vAlign w:val="center"/>
          </w:tcPr>
          <w:p>
            <w:r>
              <w:rPr>
                <w:sz w:val="13"/>
                <w:szCs w:val="13"/>
              </w:rPr>
              <w:t xml:space="preserve">Logged and investigated the same as a reaching event</w:t>
            </w:r>
          </w:p>
        </w:tc>
      </w:tr>
      <w:tr>
        <w:tc>
          <w:tcPr>
            <w:tcW w:type="dxa" w:w="2200"/>
            <w:tcMar>
              <w:top w:type="dxa" w:w="80"/>
              <w:left w:type="dxa" w:w="100"/>
              <w:bottom w:type="dxa" w:w="80"/>
              <w:right w:type="dxa" w:w="80"/>
            </w:tcMar>
            <w:vAlign w:val="center"/>
          </w:tcPr>
          <w:p>
            <w:r>
              <w:rPr>
                <w:b/>
                <w:bCs/>
                <w:sz w:val="15"/>
                <w:szCs w:val="15"/>
              </w:rPr>
              <w:t xml:space="preserve">No-harm event</w:t>
            </w:r>
          </w:p>
        </w:tc>
        <w:tc>
          <w:tcPr>
            <w:tcW w:type="dxa" w:w="3700"/>
            <w:tcMar>
              <w:top w:type="dxa" w:w="80"/>
              <w:left w:type="dxa" w:w="100"/>
              <w:bottom w:type="dxa" w:w="80"/>
              <w:right w:type="dxa" w:w="80"/>
            </w:tcMar>
            <w:vAlign w:val="center"/>
          </w:tcPr>
          <w:p>
            <w:r>
              <w:rPr>
                <w:sz w:val="14"/>
                <w:szCs w:val="14"/>
              </w:rPr>
              <w:t xml:space="preserve">Reached the patient, no harm resulted</w:t>
            </w:r>
          </w:p>
        </w:tc>
        <w:tc>
          <w:tcPr>
            <w:tcW w:type="dxa" w:w="2600"/>
            <w:tcMar>
              <w:top w:type="dxa" w:w="80"/>
              <w:left w:type="dxa" w:w="100"/>
              <w:bottom w:type="dxa" w:w="80"/>
              <w:right w:type="dxa" w:w="80"/>
            </w:tcMar>
            <w:vAlign w:val="center"/>
          </w:tcPr>
          <w:p>
            <w:r>
              <w:rPr>
                <w:sz w:val="13"/>
                <w:szCs w:val="13"/>
              </w:rPr>
              <w:t xml:space="preserve">Logged and investigated</w:t>
            </w:r>
          </w:p>
        </w:tc>
      </w:tr>
      <w:tr>
        <w:tc>
          <w:tcPr>
            <w:tcW w:type="dxa" w:w="2200"/>
            <w:tcMar>
              <w:top w:type="dxa" w:w="80"/>
              <w:left w:type="dxa" w:w="100"/>
              <w:bottom w:type="dxa" w:w="80"/>
              <w:right w:type="dxa" w:w="80"/>
            </w:tcMar>
            <w:vAlign w:val="center"/>
          </w:tcPr>
          <w:p>
            <w:r>
              <w:rPr>
                <w:b/>
                <w:bCs/>
                <w:sz w:val="15"/>
                <w:szCs w:val="15"/>
              </w:rPr>
              <w:t xml:space="preserve">Adverse event</w:t>
            </w:r>
          </w:p>
        </w:tc>
        <w:tc>
          <w:tcPr>
            <w:tcW w:type="dxa" w:w="3700"/>
            <w:tcMar>
              <w:top w:type="dxa" w:w="80"/>
              <w:left w:type="dxa" w:w="100"/>
              <w:bottom w:type="dxa" w:w="80"/>
              <w:right w:type="dxa" w:w="80"/>
            </w:tcMar>
            <w:vAlign w:val="center"/>
          </w:tcPr>
          <w:p>
            <w:r>
              <w:rPr>
                <w:sz w:val="14"/>
                <w:szCs w:val="14"/>
              </w:rPr>
              <w:t xml:space="preserve">Reached the patient, caused actual harm</w:t>
            </w:r>
          </w:p>
        </w:tc>
        <w:tc>
          <w:tcPr>
            <w:tcW w:type="dxa" w:w="2600"/>
            <w:tcMar>
              <w:top w:type="dxa" w:w="80"/>
              <w:left w:type="dxa" w:w="100"/>
              <w:bottom w:type="dxa" w:w="80"/>
              <w:right w:type="dxa" w:w="80"/>
            </w:tcMar>
            <w:vAlign w:val="center"/>
          </w:tcPr>
          <w:p>
            <w:r>
              <w:rPr>
                <w:sz w:val="13"/>
                <w:szCs w:val="13"/>
              </w:rPr>
              <w:t xml:space="preserve">Logged, investigated, reported to Management Review</w:t>
            </w:r>
          </w:p>
        </w:tc>
      </w:tr>
      <w:tr>
        <w:tc>
          <w:tcPr>
            <w:tcW w:type="dxa" w:w="2200"/>
            <w:tcMar>
              <w:top w:type="dxa" w:w="80"/>
              <w:left w:type="dxa" w:w="100"/>
              <w:bottom w:type="dxa" w:w="80"/>
              <w:right w:type="dxa" w:w="80"/>
            </w:tcMar>
            <w:vAlign w:val="center"/>
          </w:tcPr>
          <w:p>
            <w:r>
              <w:rPr>
                <w:b/>
                <w:bCs/>
                <w:sz w:val="15"/>
                <w:szCs w:val="15"/>
              </w:rPr>
              <w:t xml:space="preserve">Sentinel event</w:t>
            </w:r>
          </w:p>
        </w:tc>
        <w:tc>
          <w:tcPr>
            <w:tcW w:type="dxa" w:w="3700"/>
            <w:tcMar>
              <w:top w:type="dxa" w:w="80"/>
              <w:left w:type="dxa" w:w="100"/>
              <w:bottom w:type="dxa" w:w="80"/>
              <w:right w:type="dxa" w:w="80"/>
            </w:tcMar>
            <w:vAlign w:val="center"/>
          </w:tcPr>
          <w:p>
            <w:r>
              <w:rPr>
                <w:sz w:val="14"/>
                <w:szCs w:val="14"/>
              </w:rPr>
              <w:t xml:space="preserve">Death, permanent harm, or severe harm requiring life-sustaining intervention</w:t>
            </w:r>
          </w:p>
        </w:tc>
        <w:tc>
          <w:tcPr>
            <w:tcW w:type="dxa" w:w="2600"/>
            <w:tcMar>
              <w:top w:type="dxa" w:w="80"/>
              <w:left w:type="dxa" w:w="100"/>
              <w:bottom w:type="dxa" w:w="80"/>
              <w:right w:type="dxa" w:w="80"/>
            </w:tcMar>
            <w:vAlign w:val="center"/>
          </w:tcPr>
          <w:p>
            <w:r>
              <w:rPr>
                <w:sz w:val="13"/>
                <w:szCs w:val="13"/>
              </w:rPr>
              <w:t xml:space="preserve">Immediate escalation to Director; full root cause analysis required</w:t>
            </w:r>
          </w:p>
        </w:tc>
      </w:tr>
    </w:tbl>
    <w:p>
      <w:pPr>
        <w:pStyle w:val="Heading1"/>
        <w:spacing w:after="120" w:before="240"/>
      </w:pPr>
      <w:r>
        <w:rPr>
          <w:b/>
          <w:bCs/>
          <w:color w:val="0E2647"/>
          <w:sz w:val="24"/>
          <w:szCs w:val="24"/>
        </w:rPr>
        <w:t xml:space="preserve">7. Reporting Steps</w:t>
      </w:r>
    </w:p>
    <w:p>
      <w:pPr>
        <w:spacing w:after="90" w:line="255"/>
        <w:ind w:left="340" w:hanging="340"/>
      </w:pPr>
      <w:r>
        <w:rPr>
          <w:b/>
          <w:bCs/>
          <w:color w:val="0E2647"/>
          <w:sz w:val="19"/>
          <w:szCs w:val="19"/>
        </w:rPr>
        <w:t xml:space="preserve">Step 1.  </w:t>
      </w:r>
      <w:r>
        <w:rPr>
          <w:sz w:val="19"/>
          <w:szCs w:val="19"/>
        </w:rPr>
        <w:t xml:space="preserve">Report the event as soon as it is identified, regardless of severity or whether it reached the patient</w:t>
      </w:r>
    </w:p>
    <w:p>
      <w:pPr>
        <w:spacing w:after="90" w:line="255"/>
        <w:ind w:left="340" w:hanging="340"/>
      </w:pPr>
      <w:r>
        <w:rPr>
          <w:b/>
          <w:bCs/>
          <w:color w:val="0E2647"/>
          <w:sz w:val="19"/>
          <w:szCs w:val="19"/>
        </w:rPr>
        <w:t xml:space="preserve">Step 2.  </w:t>
      </w:r>
      <w:r>
        <w:rPr>
          <w:sz w:val="19"/>
          <w:szCs w:val="19"/>
        </w:rPr>
        <w:t xml:space="preserve">Document the event on the Incident Log (Tier 8) with a factual, objective description — what happened, not who is at fault</w:t>
      </w:r>
    </w:p>
    <w:p>
      <w:pPr>
        <w:spacing w:after="90" w:line="255"/>
        <w:ind w:left="340" w:hanging="340"/>
      </w:pPr>
      <w:r>
        <w:rPr>
          <w:b/>
          <w:bCs/>
          <w:color w:val="0E2647"/>
          <w:sz w:val="19"/>
          <w:szCs w:val="19"/>
        </w:rPr>
        <w:t xml:space="preserve">Step 3.  </w:t>
      </w:r>
      <w:r>
        <w:rPr>
          <w:sz w:val="19"/>
          <w:szCs w:val="19"/>
        </w:rPr>
        <w:t xml:space="preserve">The Quality Manager classifies the event under Section 6 within a defined timeframe</w:t>
      </w:r>
    </w:p>
    <w:p>
      <w:pPr>
        <w:spacing w:after="90" w:line="255"/>
        <w:ind w:left="340" w:hanging="340"/>
      </w:pPr>
      <w:r>
        <w:rPr>
          <w:b/>
          <w:bCs/>
          <w:color w:val="0E2647"/>
          <w:sz w:val="19"/>
          <w:szCs w:val="19"/>
        </w:rPr>
        <w:t xml:space="preserve">Step 4.  </w:t>
      </w:r>
      <w:r>
        <w:rPr>
          <w:sz w:val="19"/>
          <w:szCs w:val="19"/>
        </w:rPr>
        <w:t xml:space="preserve">A sentinel event is escalated to the Director immediately, not held for routine review</w:t>
      </w:r>
    </w:p>
    <w:p>
      <w:pPr>
        <w:pStyle w:val="Heading1"/>
        <w:spacing w:after="120" w:before="240"/>
      </w:pPr>
      <w:r>
        <w:rPr>
          <w:b/>
          <w:bCs/>
          <w:color w:val="0E2647"/>
          <w:sz w:val="24"/>
          <w:szCs w:val="24"/>
        </w:rPr>
        <w:t xml:space="preserve">8. Just Culture — How Responses Are Determined</w:t>
      </w:r>
    </w:p>
    <w:p>
      <w:pPr>
        <w:spacing w:after="110" w:line="260"/>
      </w:pPr>
      <w:r>
        <w:rPr>
          <w:b w:val="false"/>
          <w:bCs w:val="false"/>
          <w:i w:val="false"/>
          <w:iCs w:val="false"/>
          <w:sz w:val="20"/>
          <w:szCs w:val="20"/>
        </w:rPr>
        <w:t xml:space="preserve">Fear of punitive action is the single most consistently documented reason staff underreport genuine safety events [2–3]. [ORGANIZATION NAME] applies a real Just Culture approach — not a blanket promise that no one is ever accountable, but a fair, consistent distinction between three genuinely different situations [2–3]:</w:t>
      </w:r>
    </w:p>
    <w:p>
      <w:pPr>
        <w:spacing w:after="70" w:line="245"/>
        <w:ind w:left="260" w:hanging="180"/>
      </w:pPr>
      <w:r>
        <w:rPr>
          <w:sz w:val="19"/>
          <w:szCs w:val="19"/>
        </w:rPr>
        <w:t xml:space="preserve">•  Human error — an unintentional slip or mistake by someone acting in good faith — addressed through system improvement, not discipline</w:t>
      </w:r>
    </w:p>
    <w:p>
      <w:pPr>
        <w:spacing w:after="70" w:line="245"/>
        <w:ind w:left="260" w:hanging="180"/>
      </w:pPr>
      <w:r>
        <w:rPr>
          <w:sz w:val="19"/>
          <w:szCs w:val="19"/>
        </w:rPr>
        <w:t xml:space="preserve">•  At-risk behavior — a choice that unintentionally increases risk, often because a shortcut has become normalized — addressed through coaching and removing the incentive to take the shortcut</w:t>
      </w:r>
    </w:p>
    <w:p>
      <w:pPr>
        <w:spacing w:after="70" w:line="245"/>
        <w:ind w:left="260" w:hanging="180"/>
      </w:pPr>
      <w:r>
        <w:rPr>
          <w:sz w:val="19"/>
          <w:szCs w:val="19"/>
        </w:rPr>
        <w:t xml:space="preserve">•  Reckless conduct — a conscious disregard of a known, substantial risk — addressed through disciplinary action, since this is not what good-faith reporting protections exist to cover</w:t>
      </w:r>
    </w:p>
    <w:p>
      <w:pPr>
        <w:pBdr>
          <w:left w:val="single" w:color="C9A227" w:sz="16" w:space="10"/>
        </w:pBdr>
        <w:shd w:fill="FFF8E7" w:val="clear"/>
        <w:spacing w:after="160" w:before="110"/>
      </w:pPr>
      <w:r>
        <w:rPr>
          <w:i/>
          <w:iCs/>
          <w:color w:val="5C4A0A"/>
          <w:sz w:val="18"/>
          <w:szCs w:val="18"/>
        </w:rPr>
        <w:t xml:space="preserve">This distinction is what makes non-punitive reporting genuinely credible, rather than merely a slogan: staff can trust that honest reporting of a human error will not be treated the same way as reckless disregard for safety.</w:t>
      </w:r>
    </w:p>
    <w:p>
      <w:pPr>
        <w:pStyle w:val="Heading1"/>
        <w:spacing w:after="120" w:before="240"/>
      </w:pPr>
      <w:r>
        <w:rPr>
          <w:b/>
          <w:bCs/>
          <w:color w:val="0E2647"/>
          <w:sz w:val="24"/>
          <w:szCs w:val="24"/>
        </w:rPr>
        <w:t xml:space="preserve">9. Investigation and Corrective Action</w:t>
      </w:r>
    </w:p>
    <w:p>
      <w:pPr>
        <w:spacing w:after="110" w:line="260"/>
      </w:pPr>
      <w:r>
        <w:rPr>
          <w:b w:val="false"/>
          <w:bCs w:val="false"/>
          <w:i w:val="false"/>
          <w:iCs w:val="false"/>
          <w:sz w:val="20"/>
          <w:szCs w:val="20"/>
        </w:rPr>
        <w:t>Every adverse event and sentinel event undergoes root cause analysis under the Nonconformity &amp; Corrective Action Procedure (H-GOV-01), focused on the systems and conditions that allowed the event to occur, not solely on the individual involved. Corrective actions are verified for effectiveness after implementation, not simply documented and closed.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An oncology-specific event (e.g., extravasation) is reported here in addition to the Tier 5 extravasation-specific documentation, not instead of it</w:t>
      </w:r>
    </w:p>
    <w:p>
      <w:pPr>
        <w:spacing w:after="70" w:line="245"/>
        <w:ind w:left="260" w:hanging="180"/>
      </w:pPr>
      <w:r>
        <w:rPr>
          <w:sz w:val="19"/>
          <w:szCs w:val="19"/>
        </w:rPr>
        <w:t xml:space="preserve">•  A pediatric event is reported here in addition to any Tier 6 pediatric-specific reporting requirement</w:t>
      </w:r>
    </w:p>
    <w:p>
      <w:pPr>
        <w:spacing w:after="70" w:line="245"/>
        <w:ind w:left="260" w:hanging="180"/>
      </w:pPr>
      <w:r>
        <w:rPr>
          <w:sz w:val="19"/>
          <w:szCs w:val="19"/>
        </w:rPr>
        <w:t xml:space="preserve">•  Staff who report an event in good faith, including their own error, are never penalized for the act of reporting itself</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Near-miss to adverse-event reporting ratio (a healthy ratio reflects a strong reporting culture, not fewer real problems)</w:t>
      </w:r>
    </w:p>
    <w:p>
      <w:pPr>
        <w:spacing w:after="70" w:line="245"/>
        <w:ind w:left="260" w:hanging="180"/>
      </w:pPr>
      <w:r>
        <w:rPr>
          <w:sz w:val="19"/>
          <w:szCs w:val="19"/>
        </w:rPr>
        <w:t xml:space="preserve">•  Time from event identification to classification</w:t>
      </w:r>
    </w:p>
    <w:p>
      <w:pPr>
        <w:spacing w:after="70" w:line="245"/>
        <w:ind w:left="260" w:hanging="180"/>
      </w:pPr>
      <w:r>
        <w:rPr>
          <w:sz w:val="19"/>
          <w:szCs w:val="19"/>
        </w:rPr>
        <w:t xml:space="preserve">•  Corrective action effectiveness verification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 xml:space="preserve">Nonconformity Management (Tier 2)</w:t>
            </w:r>
          </w:p>
        </w:tc>
      </w:tr>
      <w:tr>
        <w:tc>
          <w:tcPr>
            <w:tcMar>
              <w:top w:type="dxa" w:w="70"/>
              <w:left w:type="dxa" w:w="100"/>
              <w:bottom w:type="dxa" w:w="70"/>
              <w:right w:type="dxa" w:w="90"/>
            </w:tcMar>
            <w:vAlign w:val="center"/>
          </w:tcPr>
          <w:p>
            <w:r>
              <w:rPr>
                <w:b/>
                <w:bCs/>
                <w:sz w:val="15"/>
                <w:szCs w:val="15"/>
              </w:rPr>
              <w:t>H-PS-01</w:t>
            </w:r>
          </w:p>
        </w:tc>
        <w:tc>
          <w:tcPr>
            <w:tcMar>
              <w:top w:type="dxa" w:w="70"/>
              <w:left w:type="dxa" w:w="100"/>
              <w:bottom w:type="dxa" w:w="70"/>
              <w:right w:type="dxa" w:w="90"/>
            </w:tcMar>
            <w:vAlign w:val="center"/>
          </w:tcPr>
          <w:p>
            <w:r>
              <w:rPr>
                <w:b w:val="false"/>
                <w:bCs w:val="false"/>
                <w:sz w:val="15"/>
                <w:szCs w:val="15"/>
              </w:rPr>
              <w:t xml:space="preserve">Patient Identification</w:t>
            </w:r>
          </w:p>
        </w:tc>
      </w:tr>
      <w:tr>
        <w:tc>
          <w:tcPr>
            <w:tcMar>
              <w:top w:type="dxa" w:w="70"/>
              <w:left w:type="dxa" w:w="100"/>
              <w:bottom w:type="dxa" w:w="70"/>
              <w:right w:type="dxa" w:w="90"/>
            </w:tcMar>
            <w:vAlign w:val="center"/>
          </w:tcPr>
          <w:p>
            <w:r>
              <w:rPr>
                <w:b/>
                <w:bCs/>
                <w:sz w:val="15"/>
                <w:szCs w:val="15"/>
              </w:rPr>
              <w:t>H-MED-01</w:t>
            </w:r>
          </w:p>
        </w:tc>
        <w:tc>
          <w:tcPr>
            <w:tcMar>
              <w:top w:type="dxa" w:w="70"/>
              <w:left w:type="dxa" w:w="100"/>
              <w:bottom w:type="dxa" w:w="70"/>
              <w:right w:type="dxa" w:w="90"/>
            </w:tcMar>
            <w:vAlign w:val="center"/>
          </w:tcPr>
          <w:p>
            <w:r>
              <w:rPr>
                <w:b w:val="false"/>
                <w:bCs w:val="false"/>
                <w:sz w:val="15"/>
                <w:szCs w:val="15"/>
              </w:rPr>
              <w:t xml:space="preserve">Medication Management</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MedTrainer. Understanding Near Miss Events in Healthcare, citing the WHO definition of near miss. 2026.</w:t>
      </w:r>
    </w:p>
    <w:p>
      <w:pPr>
        <w:spacing w:after="90" w:line="230"/>
        <w:ind w:left="320" w:hanging="320"/>
      </w:pPr>
      <w:r>
        <w:rPr>
          <w:b/>
          <w:bCs/>
          <w:color w:val="0E2647"/>
          <w:sz w:val="15"/>
          <w:szCs w:val="15"/>
        </w:rPr>
        <w:t xml:space="preserve">[2] </w:t>
      </w:r>
      <w:r>
        <w:rPr>
          <w:sz w:val="15"/>
          <w:szCs w:val="15"/>
        </w:rPr>
        <w:t xml:space="preserve">Kumah, A. Adverse Event Reporting and Patient Safety: The Role of a Just Culture. Frontiers in Health Services, 2025.</w:t>
      </w:r>
    </w:p>
    <w:p>
      <w:pPr>
        <w:spacing w:after="90" w:line="230"/>
        <w:ind w:left="320" w:hanging="320"/>
      </w:pPr>
      <w:r>
        <w:rPr>
          <w:b/>
          <w:bCs/>
          <w:color w:val="0E2647"/>
          <w:sz w:val="15"/>
          <w:szCs w:val="15"/>
        </w:rPr>
        <w:t xml:space="preserve">[3] </w:t>
      </w:r>
      <w:r>
        <w:rPr>
          <w:sz w:val="15"/>
          <w:szCs w:val="15"/>
        </w:rPr>
        <w:t xml:space="preserve">PSNet (AHRQ). Responding to Patient Safety Events.</w:t>
      </w:r>
    </w:p>
    <w:p>
      <w:pPr>
        <w:spacing w:after="90" w:line="230"/>
        <w:ind w:left="320" w:hanging="320"/>
      </w:pPr>
      <w:r>
        <w:rPr>
          <w:b/>
          <w:bCs/>
          <w:color w:val="0E2647"/>
          <w:sz w:val="15"/>
          <w:szCs w:val="15"/>
        </w:rPr>
        <w:t xml:space="preserve">[4] </w:t>
      </w:r>
      <w:r>
        <w:rPr>
          <w:sz w:val="15"/>
          <w:szCs w:val="15"/>
        </w:rPr>
        <w:t xml:space="preserve">HQI. A Window into Patient Safety: Underreporting of Near-Miss Events in CHPSOData. 2024.</w:t>
      </w:r>
    </w:p>
    <w:p>
      <w:pPr>
        <w:spacing w:after="90" w:line="230"/>
        <w:ind w:left="320" w:hanging="320"/>
      </w:pPr>
      <w:r>
        <w:rPr>
          <w:b/>
          <w:bCs/>
          <w:color w:val="0E2647"/>
          <w:sz w:val="15"/>
          <w:szCs w:val="15"/>
        </w:rPr>
        <w:t xml:space="preserve">[5] </w:t>
      </w:r>
      <w:r>
        <w:rPr>
          <w:sz w:val="15"/>
          <w:szCs w:val="15"/>
        </w:rPr>
        <w:t xml:space="preserve">World Health Organization. Patient Safety Incident Reporting and Learning Systems.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H-PS-02-EN · Incident Reporting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2026-09-13T23:18:25.854Z</dcterms:created>
  <dcterms:modified xsi:type="dcterms:W3CDTF">2026-09-13T23:18:25.864Z</dcterms:modified>
</cp:coreProperties>
</file>

<file path=docProps/custom.xml><?xml version="1.0" encoding="utf-8"?>
<Properties xmlns="http://schemas.openxmlformats.org/officeDocument/2006/custom-properties" xmlns:vt="http://schemas.openxmlformats.org/officeDocument/2006/docPropsVTypes"/>
</file>