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Context of the Organization and Interested Parties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H-QMS-01-EN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Context of the Organization and Interested Parties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Internal and External Issues · 5. Interested Parties and Their Requirements · 6. Review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identifies the internal and external issues, and the interested parties and their requirements, that are relevant to its purpose and strategic direction and that affect its ability to achieve the intended results of its quality management system (QMS), consistent with ISO 9001:2015 Clauses 4.1 and 4.2 [1].</w:t>
      </w:r>
    </w:p>
    <w:p>
      <w:pPr>
        <w:pStyle w:val="Heading1"/>
        <w:spacing w:after="120" w:before="240"/>
      </w:pPr>
      <w:r>
        <w:rPr>
          <w:b/>
          <w:bCs/>
          <w:color w:val="0E2647"/>
          <w:sz w:val="24"/>
          <w:szCs w:val="24"/>
        </w:rPr>
        <w:t xml:space="preserve">2. Scope</w:t>
      </w:r>
    </w:p>
    <w:p>
      <w:pPr>
        <w:spacing w:after="110" w:line="260"/>
      </w:pPr>
      <w:r>
        <w:rPr>
          <w:sz w:val="20"/>
          <w:szCs w:val="20"/>
        </w:rPr>
        <w:t>This procedure applies to the whole of [ORGANIZATION NAME]'s QMS and is reviewed at every Management Review (H-GOV-03).</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Interested party — a person or organization that can affect, be affected by, or perceive itself to be affected by a decision or activity [1]</w:t>
      </w:r>
    </w:p>
    <w:p>
      <w:pPr>
        <w:spacing w:after="70" w:line="245"/>
        <w:ind w:left="260" w:hanging="180"/>
      </w:pPr>
      <w:r>
        <w:rPr>
          <w:sz w:val="19"/>
          <w:szCs w:val="19"/>
        </w:rPr>
        <w:t xml:space="preserve">•  Context of the organization — the combination of internal and external issues that can affect the organization's approach to developing and achieving the objectives of its QMS [1]</w:t>
      </w:r>
    </w:p>
    <w:p>
      <w:pPr>
        <w:pStyle w:val="Heading1"/>
        <w:spacing w:after="120" w:before="240"/>
      </w:pPr>
      <w:r>
        <w:rPr>
          <w:b/>
          <w:bCs/>
          <w:color w:val="0E2647"/>
          <w:sz w:val="24"/>
          <w:szCs w:val="24"/>
        </w:rPr>
        <w:t xml:space="preserve">4. Internal and External Issues</w:t>
      </w:r>
    </w:p>
    <w:p>
      <w:pPr>
        <w:spacing w:after="110" w:line="260"/>
      </w:pPr>
      <w:r>
        <w:rPr>
          <w:sz w:val="20"/>
          <w:szCs w:val="20"/>
        </w:rPr>
        <w:t xml:space="preserve">[ORGANIZATION NAME] determines the internal and external issues relevant to its purpose, reviewed at least annually and whenever a significant change occurs (new service line, new regulation, major staffing change).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Category</w:t>
            </w:r>
          </w:p>
        </w:tc>
        <w:tc>
          <w:tcPr>
            <w:tcW w:type="dxa" w:w="6500"/>
            <w:shd w:fill="0E2647" w:val="clear"/>
            <w:tcMar>
              <w:top w:type="dxa" w:w="80"/>
              <w:left w:type="dxa" w:w="100"/>
              <w:bottom w:type="dxa" w:w="80"/>
              <w:right w:type="dxa" w:w="80"/>
            </w:tcMar>
          </w:tcPr>
          <w:p>
            <w:r>
              <w:rPr>
                <w:b/>
                <w:bCs/>
                <w:color w:val="FFFFFF"/>
                <w:sz w:val="14"/>
                <w:szCs w:val="14"/>
              </w:rPr>
              <w:t xml:space="preserve">Example Issues (organization completes)</w:t>
            </w:r>
          </w:p>
        </w:tc>
      </w:tr>
      <w:tr>
        <w:tc>
          <w:tcPr>
            <w:tcW w:type="dxa" w:w="2500"/>
            <w:tcMar>
              <w:top w:type="dxa" w:w="70"/>
              <w:left w:type="dxa" w:w="100"/>
              <w:bottom w:type="dxa" w:w="70"/>
              <w:right w:type="dxa" w:w="80"/>
            </w:tcMar>
            <w:vAlign w:val="center"/>
          </w:tcPr>
          <w:p>
            <w:r>
              <w:rPr>
                <w:b/>
                <w:bCs/>
                <w:sz w:val="14"/>
                <w:szCs w:val="14"/>
              </w:rPr>
              <w:t xml:space="preserve">External — Regulatory</w:t>
            </w:r>
          </w:p>
        </w:tc>
        <w:tc>
          <w:tcPr>
            <w:tcW w:type="dxa" w:w="6500"/>
            <w:tcMar>
              <w:top w:type="dxa" w:w="70"/>
              <w:left w:type="dxa" w:w="100"/>
              <w:bottom w:type="dxa" w:w="70"/>
              <w:right w:type="dxa" w:w="80"/>
            </w:tcMar>
            <w:vAlign w:val="center"/>
          </w:tcPr>
          <w:p>
            <w:r>
              <w:rPr>
                <w:b w:val="false"/>
                <w:bCs w:val="false"/>
                <w:sz w:val="14"/>
                <w:szCs w:val="14"/>
              </w:rPr>
              <w:t xml:space="preserve">[Organization to list: licensing requirements, Georgian health ministry regulations, GDPR if serving EU patients]</w:t>
            </w:r>
          </w:p>
        </w:tc>
      </w:tr>
      <w:tr>
        <w:tc>
          <w:tcPr>
            <w:tcW w:type="dxa" w:w="2500"/>
            <w:tcMar>
              <w:top w:type="dxa" w:w="70"/>
              <w:left w:type="dxa" w:w="100"/>
              <w:bottom w:type="dxa" w:w="70"/>
              <w:right w:type="dxa" w:w="80"/>
            </w:tcMar>
            <w:vAlign w:val="center"/>
          </w:tcPr>
          <w:p>
            <w:r>
              <w:rPr>
                <w:b/>
                <w:bCs/>
                <w:sz w:val="14"/>
                <w:szCs w:val="14"/>
              </w:rPr>
              <w:t xml:space="preserve">External — Market/Payer</w:t>
            </w:r>
          </w:p>
        </w:tc>
        <w:tc>
          <w:tcPr>
            <w:tcW w:type="dxa" w:w="6500"/>
            <w:tcMar>
              <w:top w:type="dxa" w:w="70"/>
              <w:left w:type="dxa" w:w="100"/>
              <w:bottom w:type="dxa" w:w="70"/>
              <w:right w:type="dxa" w:w="80"/>
            </w:tcMar>
            <w:vAlign w:val="center"/>
          </w:tcPr>
          <w:p>
            <w:r>
              <w:rPr>
                <w:b w:val="false"/>
                <w:bCs w:val="false"/>
                <w:sz w:val="14"/>
                <w:szCs w:val="14"/>
              </w:rPr>
              <w:t xml:space="preserve">[Organization to list: insurer relationships, competitor landscape, patient expectations]</w:t>
            </w:r>
          </w:p>
        </w:tc>
      </w:tr>
      <w:tr>
        <w:tc>
          <w:tcPr>
            <w:tcW w:type="dxa" w:w="2500"/>
            <w:tcMar>
              <w:top w:type="dxa" w:w="70"/>
              <w:left w:type="dxa" w:w="100"/>
              <w:bottom w:type="dxa" w:w="70"/>
              <w:right w:type="dxa" w:w="80"/>
            </w:tcMar>
            <w:vAlign w:val="center"/>
          </w:tcPr>
          <w:p>
            <w:r>
              <w:rPr>
                <w:b/>
                <w:bCs/>
                <w:sz w:val="14"/>
                <w:szCs w:val="14"/>
              </w:rPr>
              <w:t xml:space="preserve">External — Technology</w:t>
            </w:r>
          </w:p>
        </w:tc>
        <w:tc>
          <w:tcPr>
            <w:tcW w:type="dxa" w:w="6500"/>
            <w:tcMar>
              <w:top w:type="dxa" w:w="70"/>
              <w:left w:type="dxa" w:w="100"/>
              <w:bottom w:type="dxa" w:w="70"/>
              <w:right w:type="dxa" w:w="80"/>
            </w:tcMar>
            <w:vAlign w:val="center"/>
          </w:tcPr>
          <w:p>
            <w:r>
              <w:rPr>
                <w:b w:val="false"/>
                <w:bCs w:val="false"/>
                <w:sz w:val="14"/>
                <w:szCs w:val="14"/>
              </w:rPr>
              <w:t xml:space="preserve">[Organization to list: EHR systems, telehealth platforms, equipment obsolescence risk]</w:t>
            </w:r>
          </w:p>
        </w:tc>
      </w:tr>
      <w:tr>
        <w:tc>
          <w:tcPr>
            <w:tcW w:type="dxa" w:w="2500"/>
            <w:tcMar>
              <w:top w:type="dxa" w:w="70"/>
              <w:left w:type="dxa" w:w="100"/>
              <w:bottom w:type="dxa" w:w="70"/>
              <w:right w:type="dxa" w:w="80"/>
            </w:tcMar>
            <w:vAlign w:val="center"/>
          </w:tcPr>
          <w:p>
            <w:r>
              <w:rPr>
                <w:b/>
                <w:bCs/>
                <w:sz w:val="14"/>
                <w:szCs w:val="14"/>
              </w:rPr>
              <w:t xml:space="preserve">Internal — Workforce</w:t>
            </w:r>
          </w:p>
        </w:tc>
        <w:tc>
          <w:tcPr>
            <w:tcW w:type="dxa" w:w="6500"/>
            <w:tcMar>
              <w:top w:type="dxa" w:w="70"/>
              <w:left w:type="dxa" w:w="100"/>
              <w:bottom w:type="dxa" w:w="70"/>
              <w:right w:type="dxa" w:w="80"/>
            </w:tcMar>
            <w:vAlign w:val="center"/>
          </w:tcPr>
          <w:p>
            <w:r>
              <w:rPr>
                <w:b w:val="false"/>
                <w:bCs w:val="false"/>
                <w:sz w:val="14"/>
                <w:szCs w:val="14"/>
              </w:rPr>
              <w:t xml:space="preserve">[Organization to list: staffing levels, turnover, skill gaps]</w:t>
            </w:r>
          </w:p>
        </w:tc>
      </w:tr>
      <w:tr>
        <w:tc>
          <w:tcPr>
            <w:tcW w:type="dxa" w:w="2500"/>
            <w:tcMar>
              <w:top w:type="dxa" w:w="70"/>
              <w:left w:type="dxa" w:w="100"/>
              <w:bottom w:type="dxa" w:w="70"/>
              <w:right w:type="dxa" w:w="80"/>
            </w:tcMar>
            <w:vAlign w:val="center"/>
          </w:tcPr>
          <w:p>
            <w:r>
              <w:rPr>
                <w:b/>
                <w:bCs/>
                <w:sz w:val="14"/>
                <w:szCs w:val="14"/>
              </w:rPr>
              <w:t xml:space="preserve">Internal — Culture/Governance</w:t>
            </w:r>
          </w:p>
        </w:tc>
        <w:tc>
          <w:tcPr>
            <w:tcW w:type="dxa" w:w="6500"/>
            <w:tcMar>
              <w:top w:type="dxa" w:w="70"/>
              <w:left w:type="dxa" w:w="100"/>
              <w:bottom w:type="dxa" w:w="70"/>
              <w:right w:type="dxa" w:w="80"/>
            </w:tcMar>
            <w:vAlign w:val="center"/>
          </w:tcPr>
          <w:p>
            <w:r>
              <w:rPr>
                <w:b w:val="false"/>
                <w:bCs w:val="false"/>
                <w:sz w:val="14"/>
                <w:szCs w:val="14"/>
              </w:rPr>
              <w:t xml:space="preserve">[Organization to list: leadership stability, quality culture maturity]</w:t>
            </w:r>
          </w:p>
        </w:tc>
      </w:tr>
    </w:tbl>
    <w:p>
      <w:pPr>
        <w:pStyle w:val="Heading1"/>
        <w:spacing w:after="120" w:before="240"/>
      </w:pPr>
      <w:r>
        <w:rPr>
          <w:b/>
          <w:bCs/>
          <w:color w:val="0E2647"/>
          <w:sz w:val="24"/>
          <w:szCs w:val="24"/>
        </w:rPr>
        <w:t xml:space="preserve">5. Interested Parties and Their Requirements</w:t>
      </w:r>
    </w:p>
    <w:p>
      <w:pPr>
        <w:spacing w:after="110" w:line="260"/>
      </w:pPr>
      <w:r>
        <w:rPr>
          <w:sz w:val="20"/>
          <w:szCs w:val="20"/>
        </w:rPr>
        <w:t>A real, complete interested-parties list for an hospital includes at minimum:</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Interested Party</w:t>
            </w:r>
          </w:p>
        </w:tc>
        <w:tc>
          <w:tcPr>
            <w:tcW w:type="dxa" w:w="6500"/>
            <w:shd w:fill="0E2647" w:val="clear"/>
            <w:tcMar>
              <w:top w:type="dxa" w:w="80"/>
              <w:left w:type="dxa" w:w="100"/>
              <w:bottom w:type="dxa" w:w="80"/>
              <w:right w:type="dxa" w:w="80"/>
            </w:tcMar>
          </w:tcPr>
          <w:p>
            <w:r>
              <w:rPr>
                <w:b/>
                <w:bCs/>
                <w:color w:val="FFFFFF"/>
                <w:sz w:val="14"/>
                <w:szCs w:val="14"/>
              </w:rPr>
              <w:t xml:space="preserve">Typical Requirement</w:t>
            </w:r>
          </w:p>
        </w:tc>
      </w:tr>
      <w:tr>
        <w:tc>
          <w:tcPr>
            <w:tcW w:type="dxa" w:w="2500"/>
            <w:tcMar>
              <w:top w:type="dxa" w:w="70"/>
              <w:left w:type="dxa" w:w="100"/>
              <w:bottom w:type="dxa" w:w="70"/>
              <w:right w:type="dxa" w:w="80"/>
            </w:tcMar>
            <w:vAlign w:val="center"/>
          </w:tcPr>
          <w:p>
            <w:r>
              <w:rPr>
                <w:b/>
                <w:bCs/>
                <w:sz w:val="14"/>
                <w:szCs w:val="14"/>
              </w:rPr>
              <w:t xml:space="preserve">Patients and families</w:t>
            </w:r>
          </w:p>
        </w:tc>
        <w:tc>
          <w:tcPr>
            <w:tcW w:type="dxa" w:w="6500"/>
            <w:tcMar>
              <w:top w:type="dxa" w:w="70"/>
              <w:left w:type="dxa" w:w="100"/>
              <w:bottom w:type="dxa" w:w="70"/>
              <w:right w:type="dxa" w:w="80"/>
            </w:tcMar>
            <w:vAlign w:val="center"/>
          </w:tcPr>
          <w:p>
            <w:r>
              <w:rPr>
                <w:b w:val="false"/>
                <w:bCs w:val="false"/>
                <w:sz w:val="14"/>
                <w:szCs w:val="14"/>
              </w:rPr>
              <w:t>Safe, effective, respectful, timely care (see H-PR-01)</w:t>
            </w:r>
          </w:p>
        </w:tc>
      </w:tr>
      <w:tr>
        <w:tc>
          <w:tcPr>
            <w:tcW w:type="dxa" w:w="2500"/>
            <w:tcMar>
              <w:top w:type="dxa" w:w="70"/>
              <w:left w:type="dxa" w:w="100"/>
              <w:bottom w:type="dxa" w:w="70"/>
              <w:right w:type="dxa" w:w="80"/>
            </w:tcMar>
            <w:vAlign w:val="center"/>
          </w:tcPr>
          <w:p>
            <w:r>
              <w:rPr>
                <w:b/>
                <w:bCs/>
                <w:sz w:val="14"/>
                <w:szCs w:val="14"/>
              </w:rPr>
              <w:t xml:space="preserve">Staff</w:t>
            </w:r>
          </w:p>
        </w:tc>
        <w:tc>
          <w:tcPr>
            <w:tcW w:type="dxa" w:w="6500"/>
            <w:tcMar>
              <w:top w:type="dxa" w:w="70"/>
              <w:left w:type="dxa" w:w="100"/>
              <w:bottom w:type="dxa" w:w="70"/>
              <w:right w:type="dxa" w:w="80"/>
            </w:tcMar>
            <w:vAlign w:val="center"/>
          </w:tcPr>
          <w:p>
            <w:r>
              <w:rPr>
                <w:b w:val="false"/>
                <w:bCs w:val="false"/>
                <w:sz w:val="14"/>
                <w:szCs w:val="14"/>
              </w:rPr>
              <w:t xml:space="preserve">Safe workplace, fair treatment, competence development</w:t>
            </w:r>
          </w:p>
        </w:tc>
      </w:tr>
      <w:tr>
        <w:tc>
          <w:tcPr>
            <w:tcW w:type="dxa" w:w="2500"/>
            <w:tcMar>
              <w:top w:type="dxa" w:w="70"/>
              <w:left w:type="dxa" w:w="100"/>
              <w:bottom w:type="dxa" w:w="70"/>
              <w:right w:type="dxa" w:w="80"/>
            </w:tcMar>
            <w:vAlign w:val="center"/>
          </w:tcPr>
          <w:p>
            <w:r>
              <w:rPr>
                <w:b/>
                <w:bCs/>
                <w:sz w:val="14"/>
                <w:szCs w:val="14"/>
              </w:rPr>
              <w:t xml:space="preserve">Regulators / licensing authority</w:t>
            </w:r>
          </w:p>
        </w:tc>
        <w:tc>
          <w:tcPr>
            <w:tcW w:type="dxa" w:w="6500"/>
            <w:tcMar>
              <w:top w:type="dxa" w:w="70"/>
              <w:left w:type="dxa" w:w="100"/>
              <w:bottom w:type="dxa" w:w="70"/>
              <w:right w:type="dxa" w:w="80"/>
            </w:tcMar>
            <w:vAlign w:val="center"/>
          </w:tcPr>
          <w:p>
            <w:r>
              <w:rPr>
                <w:b w:val="false"/>
                <w:bCs w:val="false"/>
                <w:sz w:val="14"/>
                <w:szCs w:val="14"/>
              </w:rPr>
              <w:t xml:space="preserve">Legal and regulatory compliance</w:t>
            </w:r>
          </w:p>
        </w:tc>
      </w:tr>
      <w:tr>
        <w:tc>
          <w:tcPr>
            <w:tcW w:type="dxa" w:w="2500"/>
            <w:tcMar>
              <w:top w:type="dxa" w:w="70"/>
              <w:left w:type="dxa" w:w="100"/>
              <w:bottom w:type="dxa" w:w="70"/>
              <w:right w:type="dxa" w:w="80"/>
            </w:tcMar>
            <w:vAlign w:val="center"/>
          </w:tcPr>
          <w:p>
            <w:r>
              <w:rPr>
                <w:b/>
                <w:bCs/>
                <w:sz w:val="14"/>
                <w:szCs w:val="14"/>
              </w:rPr>
              <w:t xml:space="preserve">Payers / insurers</w:t>
            </w:r>
          </w:p>
        </w:tc>
        <w:tc>
          <w:tcPr>
            <w:tcW w:type="dxa" w:w="6500"/>
            <w:tcMar>
              <w:top w:type="dxa" w:w="70"/>
              <w:left w:type="dxa" w:w="100"/>
              <w:bottom w:type="dxa" w:w="70"/>
              <w:right w:type="dxa" w:w="80"/>
            </w:tcMar>
            <w:vAlign w:val="center"/>
          </w:tcPr>
          <w:p>
            <w:r>
              <w:rPr>
                <w:b w:val="false"/>
                <w:bCs w:val="false"/>
                <w:sz w:val="14"/>
                <w:szCs w:val="14"/>
              </w:rPr>
              <w:t xml:space="preserve">Accurate billing, documented medical necessity</w:t>
            </w:r>
          </w:p>
        </w:tc>
      </w:tr>
      <w:tr>
        <w:tc>
          <w:tcPr>
            <w:tcW w:type="dxa" w:w="2500"/>
            <w:tcMar>
              <w:top w:type="dxa" w:w="70"/>
              <w:left w:type="dxa" w:w="100"/>
              <w:bottom w:type="dxa" w:w="70"/>
              <w:right w:type="dxa" w:w="80"/>
            </w:tcMar>
            <w:vAlign w:val="center"/>
          </w:tcPr>
          <w:p>
            <w:r>
              <w:rPr>
                <w:b/>
                <w:bCs/>
                <w:sz w:val="14"/>
                <w:szCs w:val="14"/>
              </w:rPr>
              <w:t xml:space="preserve">Suppliers</w:t>
            </w:r>
          </w:p>
        </w:tc>
        <w:tc>
          <w:tcPr>
            <w:tcW w:type="dxa" w:w="6500"/>
            <w:tcMar>
              <w:top w:type="dxa" w:w="70"/>
              <w:left w:type="dxa" w:w="100"/>
              <w:bottom w:type="dxa" w:w="70"/>
              <w:right w:type="dxa" w:w="80"/>
            </w:tcMar>
            <w:vAlign w:val="center"/>
          </w:tcPr>
          <w:p>
            <w:r>
              <w:rPr>
                <w:b w:val="false"/>
                <w:bCs w:val="false"/>
                <w:sz w:val="14"/>
                <w:szCs w:val="14"/>
              </w:rPr>
              <w:t>Fair, timely payment; clear specifications (see H-CC-02)</w:t>
            </w:r>
          </w:p>
        </w:tc>
      </w:tr>
      <w:tr>
        <w:tc>
          <w:tcPr>
            <w:tcW w:type="dxa" w:w="2500"/>
            <w:tcMar>
              <w:top w:type="dxa" w:w="70"/>
              <w:left w:type="dxa" w:w="100"/>
              <w:bottom w:type="dxa" w:w="70"/>
              <w:right w:type="dxa" w:w="80"/>
            </w:tcMar>
            <w:vAlign w:val="center"/>
          </w:tcPr>
          <w:p>
            <w:r>
              <w:rPr>
                <w:b/>
                <w:bCs/>
                <w:sz w:val="14"/>
                <w:szCs w:val="14"/>
              </w:rPr>
              <w:t xml:space="preserve">Community</w:t>
            </w:r>
          </w:p>
        </w:tc>
        <w:tc>
          <w:tcPr>
            <w:tcW w:type="dxa" w:w="6500"/>
            <w:tcMar>
              <w:top w:type="dxa" w:w="70"/>
              <w:left w:type="dxa" w:w="100"/>
              <w:bottom w:type="dxa" w:w="70"/>
              <w:right w:type="dxa" w:w="80"/>
            </w:tcMar>
            <w:vAlign w:val="center"/>
          </w:tcPr>
          <w:p>
            <w:r>
              <w:rPr>
                <w:b w:val="false"/>
                <w:bCs w:val="false"/>
                <w:sz w:val="14"/>
                <w:szCs w:val="14"/>
              </w:rPr>
              <w:t>Accessible, non-discriminatory care (see H-PR-05)</w:t>
            </w:r>
          </w:p>
        </w:tc>
      </w:tr>
    </w:tbl>
    <w:p>
      <w:pPr>
        <w:pBdr>
          <w:left w:val="single" w:color="C9A227" w:sz="16" w:space="10"/>
        </w:pBdr>
        <w:shd w:fill="FFF8E7" w:val="clear"/>
        <w:spacing w:after="160" w:before="110"/>
      </w:pPr>
      <w:r>
        <w:rPr>
          <w:i/>
          <w:iCs/>
          <w:color w:val="5C4A0A"/>
          <w:sz w:val="18"/>
          <w:szCs w:val="18"/>
        </w:rPr>
        <w:t>This table is completed and periodically reviewed by [ORGANIZATION NAME] using H-QMS-01-F01; a generic list copied without genuine reflection does not satisfy Clause 4.2 in a real audit.</w:t>
      </w:r>
    </w:p>
    <w:p>
      <w:pPr>
        <w:pStyle w:val="Heading1"/>
        <w:spacing w:after="120" w:before="240"/>
      </w:pPr>
      <w:r>
        <w:rPr>
          <w:b/>
          <w:bCs/>
          <w:color w:val="0E2647"/>
          <w:sz w:val="24"/>
          <w:szCs w:val="24"/>
        </w:rPr>
        <w:t xml:space="preserve">6. Review</w:t>
      </w:r>
    </w:p>
    <w:p>
      <w:pPr>
        <w:spacing w:after="110" w:line="260"/>
      </w:pPr>
      <w:r>
        <w:rPr>
          <w:sz w:val="20"/>
          <w:szCs w:val="20"/>
        </w:rPr>
        <w:t>The context and interested-parties register (H-QMS-01-F01) is reviewed at every Management Review (H-GOV-03) and updated whenever a significant internal or external change occurs.</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procedure</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Maintaining the register</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H-QMS-01-F01</w:t>
            </w:r>
          </w:p>
        </w:tc>
        <w:tc>
          <w:tcPr>
            <w:tcMar>
              <w:top w:type="dxa" w:w="70"/>
              <w:left w:type="dxa" w:w="100"/>
              <w:bottom w:type="dxa" w:w="70"/>
              <w:right w:type="dxa" w:w="90"/>
            </w:tcMar>
            <w:vAlign w:val="center"/>
          </w:tcPr>
          <w:p>
            <w:r>
              <w:rPr>
                <w:b w:val="false"/>
                <w:bCs w:val="false"/>
                <w:sz w:val="15"/>
                <w:szCs w:val="15"/>
              </w:rPr>
              <w:t xml:space="preserve">Context and Interested-Parties Register</w:t>
            </w:r>
          </w:p>
        </w:tc>
      </w:tr>
      <w:tr>
        <w:tc>
          <w:tcPr>
            <w:tcMar>
              <w:top w:type="dxa" w:w="70"/>
              <w:left w:type="dxa" w:w="100"/>
              <w:bottom w:type="dxa" w:w="70"/>
              <w:right w:type="dxa" w:w="90"/>
            </w:tcMar>
            <w:vAlign w:val="center"/>
          </w:tcPr>
          <w:p>
            <w:r>
              <w:rPr>
                <w:b/>
                <w:bCs/>
                <w:sz w:val="15"/>
                <w:szCs w:val="15"/>
              </w:rPr>
              <w:t>H-GOV-03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Clauses 4.1–4.2, Context of the organization and interested parties.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H-QMS-01-EN · Context &amp; Interested Parties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2026-09-15T01:37:56.833Z</dcterms:created>
  <dcterms:modified xsi:type="dcterms:W3CDTF">2026-09-15T01:37:56.844Z</dcterms:modified>
</cp:coreProperties>
</file>

<file path=docProps/custom.xml><?xml version="1.0" encoding="utf-8"?>
<Properties xmlns="http://schemas.openxmlformats.org/officeDocument/2006/custom-properties" xmlns:vt="http://schemas.openxmlformats.org/officeDocument/2006/docPropsVTypes"/>
</file>