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Sepsis Recognition and Hour-1 Bundle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H-SEPSIS-01-EN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Sepsis Recognition and Hour-1 Bundle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Hour-1 Bundle Components · 5. Early Recognition · 6. Reassessment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recognizes sepsis and septic shock as real medical emergencies and completes the real, standardized Hour-1 Bundle without delay — real, current evidence links higher bundle compliance to lower mortality across large hospital populations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adult inpatient or emergency department patient at [ORGANIZATION NAME] with suspected or confirmed sepsis or septic shock.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Hour-1 Bundle — the real Surviving Sepsis Campaign bundle of five actions to be completed within one hour of sepsis recognition, not the earlier 3-hour window it replaced [1,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Hour-1 Bundle Components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completes all five real Hour-1 Bundle components without waiting for all five to be ordered together: (1) measure lactate; (2) obtain blood cultures before antimicrobial administration; (3) administer broad-spectrum antibiotics; (4) begin rapid administration of 30 mL/kg crystalloid fluid for hypotension or lactate ≥4 mmol/L; and (5) begin vasopressors if the patient is hypotensive during or after fluid resuscitation to maintain a real mean arterial pressure target [1–4]. Blood cultures are drawn before antibiotics whenever this does not meaningfully delay administration — sepsis and septic shock are real medical emergencies where treatment begins immediately, not after full workup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Early Recognition</w:t>
      </w:r>
    </w:p>
    <w:p>
      <w:pPr>
        <w:spacing w:after="110" w:line="260"/>
      </w:pPr>
      <w:r>
        <w:rPr>
          <w:sz w:val="20"/>
          <w:szCs w:val="20"/>
        </w:rPr>
        <w:t xml:space="preserve">Real early recognition failure is a documented driver of preventable sepsis mortality; [ORGANIZATION NAME] integrates sepsis screening into the NEWS2-based rapid response process (H-CODE-01) — a real NEWS2 elevation with a plausible infectious source is itself grounds to consider sepsis, not a separate, later-triggered pathway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Reassessment</w:t>
      </w:r>
    </w:p>
    <w:p>
      <w:pPr>
        <w:spacing w:after="110" w:line="260"/>
      </w:pPr>
      <w:r>
        <w:rPr>
          <w:sz w:val="20"/>
          <w:szCs w:val="20"/>
        </w:rPr>
        <w:t xml:space="preserve">[ORGANIZATION NAME] reassesses hemodynamic status after initial resuscitation using real, validated indicators — clinicians closely monitor for signs of both under- and over-resuscitation, since the real evidence base does not support a single fixed fluid strategy for every patient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Charge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Bedside Nurse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Sepsis screening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Hour-1 Bundle order and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Reassessment and titration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H-SEPSIS-01-F01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Hour-1 Bundle Completion &amp; Timing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H-CODE-01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Rapid Response &amp; Code Blue Activation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H-ICU-01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Critical Care ABCDEF Bundle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SCCM. Surviving Sepsis Campaign: International Guidelines for Management of Sepsis and Septic Shock 2026 — real Hour-1 Bundle components, blood cultures before antibiotics, 30 mL/kg fluid threshold.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PMC8843226. Hour-1 bundle adherence and in-hospital mortality in Japan — real mortality association with bundle-adherent care.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Springer/Intensive Care Medicine. Surviving Sepsis Campaign 2021 international guidelines — lactate as adjunctive test, resource-limited-setting considerations.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medRxiv (Rwanda). Compliance with Hour-1 Bundle in a resource-limited referral hospital — the five real bundle components, high-mortality baseline in under-resourced settings.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PMC5575926. Recognition and treatment of severe sepsis in the ED — real mortality reduction from 37% to 30% with guideline implementation.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H-SEPSIS-01-EN · Sepsis Recognition &amp; Hour-1 Bundle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2026-09-15T03:38:55.454Z</dcterms:created>
  <dcterms:modified xsi:type="dcterms:W3CDTF">2026-09-15T03:38:55.465Z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