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Surrogate Decision-Maker Hierarchy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H-SURROGATE-01-EN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Surrogate Decision-Maker Hierarchy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When a Surrogate Is Needed · 5. Determining the Surrogate · 6. Documentation and Limits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has a clear, consistent process for identifying who may make healthcare decisions for a patient who lacks decision-making capacity and has no advance directive naming a proxy — the real gap this document closes sits beside H-PR-04, which governs advance directives themselves but not who decides when none exists.</w:t>
      </w:r>
    </w:p>
    <w:p>
      <w:pPr>
        <w:pStyle w:val="Heading1"/>
        <w:spacing w:after="120" w:before="240"/>
      </w:pPr>
      <w:r>
        <w:rPr>
          <w:b/>
          <w:bCs/>
          <w:color w:val="0E2647"/>
          <w:sz w:val="24"/>
          <w:szCs w:val="24"/>
        </w:rPr>
        <w:t xml:space="preserve">2. Scope</w:t>
      </w:r>
    </w:p>
    <w:p>
      <w:pPr>
        <w:spacing w:after="110" w:line="260"/>
      </w:pPr>
      <w:r>
        <w:rPr>
          <w:sz w:val="20"/>
          <w:szCs w:val="20"/>
        </w:rPr>
        <w:t xml:space="preserve">Applies to any adult patient at [ORGANIZATION NAME] determined by the attending physician to lack decision-making capacity, with no valid advance directive, healthcare power of attorney, or court-appointed guardian already in place.</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Surrogate — an individual authorized, by law or by this policy in the absence of a named proxy, to make healthcare decisions on behalf of an incapacitated patient</w:t>
      </w:r>
    </w:p>
    <w:p>
      <w:pPr>
        <w:pStyle w:val="Heading1"/>
        <w:spacing w:after="120" w:before="240"/>
      </w:pPr>
      <w:r>
        <w:rPr>
          <w:b/>
          <w:bCs/>
          <w:color w:val="0E2647"/>
          <w:sz w:val="24"/>
          <w:szCs w:val="24"/>
        </w:rPr>
        <w:t xml:space="preserve">4. When a Surrogate Is Needed</w:t>
      </w:r>
    </w:p>
    <w:p>
      <w:pPr>
        <w:spacing w:after="110" w:line="260"/>
      </w:pPr>
      <w:r>
        <w:rPr>
          <w:sz w:val="20"/>
          <w:szCs w:val="20"/>
        </w:rPr>
        <w:t xml:space="preserve">A surrogate decision-maker is sought only after the attending physician documents a specific, real capacity determination — a diagnosis alone (dementia, sedation, altered mental status) is never itself sufficient; the determination addresses this patient's ability to understand this specific decision, at this time.</w:t>
      </w:r>
    </w:p>
    <w:p>
      <w:pPr>
        <w:pStyle w:val="Heading1"/>
        <w:spacing w:after="120" w:before="240"/>
      </w:pPr>
      <w:r>
        <w:rPr>
          <w:b/>
          <w:bCs/>
          <w:color w:val="0E2647"/>
          <w:sz w:val="24"/>
          <w:szCs w:val="24"/>
        </w:rPr>
        <w:t xml:space="preserve">5. Determining the Surrogate</w:t>
      </w:r>
    </w:p>
    <w:p>
      <w:pPr>
        <w:pBdr>
          <w:left w:val="single" w:color="C0392B" w:sz="16" w:space="10"/>
        </w:pBdr>
        <w:shd w:fill="FDECEC" w:val="clear"/>
        <w:spacing w:after="160" w:before="110"/>
      </w:pPr>
      <w:r>
        <w:rPr>
          <w:b/>
          <w:bCs/>
          <w:i/>
          <w:iCs/>
          <w:color w:val="7B241C"/>
          <w:sz w:val="18"/>
          <w:szCs w:val="18"/>
        </w:rPr>
        <w:t xml:space="preserve">[ORGANIZATION NAME] identifies a surrogate according to the priority hierarchy set by the law of the jurisdiction in which it operates. This hierarchy varies meaningfully by country and by jurisdiction within a country — [ORGANIZATION NAME] does not adopt a single fixed hierarchy in this policy because doing so would misstate the law wherever ASF's client hospitals actually operate. [ORGANIZATION NAME] instead maintains, as a controlled attachment to this SOP, a jurisdiction-specific surrogate hierarchy confirmed by local legal counsel before this policy is put into use.</w:t>
      </w:r>
    </w:p>
    <w:p>
      <w:pPr>
        <w:spacing w:after="110" w:line="260"/>
      </w:pPr>
      <w:r>
        <w:rPr>
          <w:sz w:val="20"/>
          <w:szCs w:val="20"/>
        </w:rPr>
        <w:t xml:space="preserve">Where local law recognizes a hierarchy, it typically orders by relationship (for example, spouse or registered partner, then adult child, then parent, then adult sibling, then other next of kin), and commonly allows any equally-ranked individual to serve, or requires agreement among them, or directs escalation to an ethics committee or court where a required decision-maker cannot be identified or where those at the same rank disagree. [ORGANIZATION NAME] confirms which of these applies locally rather than assuming.</w:t>
      </w:r>
    </w:p>
    <w:p>
      <w:pPr>
        <w:pStyle w:val="Heading1"/>
        <w:spacing w:after="120" w:before="240"/>
      </w:pPr>
      <w:r>
        <w:rPr>
          <w:b/>
          <w:bCs/>
          <w:color w:val="0E2647"/>
          <w:sz w:val="24"/>
          <w:szCs w:val="24"/>
        </w:rPr>
        <w:t xml:space="preserve">6. Documentation and Limits</w:t>
      </w:r>
    </w:p>
    <w:p>
      <w:pPr>
        <w:pBdr>
          <w:left w:val="single" w:color="C0392B" w:sz="16" w:space="10"/>
        </w:pBdr>
        <w:shd w:fill="FDECEC" w:val="clear"/>
        <w:spacing w:after="160" w:before="110"/>
      </w:pPr>
      <w:r>
        <w:rPr>
          <w:b/>
          <w:bCs/>
          <w:i/>
          <w:iCs/>
          <w:color w:val="7B241C"/>
          <w:sz w:val="18"/>
          <w:szCs w:val="18"/>
        </w:rPr>
        <w:t xml:space="preserve">A surrogate's authority is real but not unlimited: it does not permit decisions [ORGANIZATION NAME] knows to be contrary to the patient's own previously expressed wishes, and any conflict between the surrogate's decision and known patient wishes is escalated to the ethics consultation process before it is acted on.</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Attending Physician</w:t>
            </w:r>
          </w:p>
        </w:tc>
        <w:tc>
          <w:tcPr>
            <w:shd w:fill="0E2647" w:val="clear"/>
            <w:tcMar>
              <w:top w:type="dxa" w:w="70"/>
              <w:left w:type="dxa" w:w="80"/>
              <w:bottom w:type="dxa" w:w="70"/>
              <w:right w:type="dxa" w:w="70"/>
            </w:tcMar>
          </w:tcPr>
          <w:p>
            <w:pPr>
              <w:jc w:val="center"/>
            </w:pPr>
            <w:r>
              <w:rPr>
                <w:b/>
                <w:bCs/>
                <w:color w:val="FFFFFF"/>
                <w:sz w:val="13"/>
                <w:szCs w:val="13"/>
              </w:rPr>
              <w:t xml:space="preserve">Legal Counsel</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Capacity determination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Surrogate identification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Jurisdiction-specific hierarchy attachment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H-SURROGATE-01-F01</w:t>
            </w:r>
          </w:p>
        </w:tc>
        <w:tc>
          <w:tcPr>
            <w:tcMar>
              <w:top w:type="dxa" w:w="70"/>
              <w:left w:type="dxa" w:w="100"/>
              <w:bottom w:type="dxa" w:w="70"/>
              <w:right w:type="dxa" w:w="90"/>
            </w:tcMar>
            <w:vAlign w:val="center"/>
          </w:tcPr>
          <w:p>
            <w:r>
              <w:rPr>
                <w:b w:val="false"/>
                <w:bCs w:val="false"/>
                <w:sz w:val="15"/>
                <w:szCs w:val="15"/>
              </w:rPr>
              <w:t xml:space="preserve">Capacity Determination &amp; Surrogate Identification Record</w:t>
            </w:r>
          </w:p>
        </w:tc>
      </w:tr>
      <w:tr>
        <w:tc>
          <w:tcPr>
            <w:tcMar>
              <w:top w:type="dxa" w:w="70"/>
              <w:left w:type="dxa" w:w="100"/>
              <w:bottom w:type="dxa" w:w="70"/>
              <w:right w:type="dxa" w:w="90"/>
            </w:tcMar>
            <w:vAlign w:val="center"/>
          </w:tcPr>
          <w:p>
            <w:r>
              <w:rPr>
                <w:b/>
                <w:bCs/>
                <w:sz w:val="15"/>
                <w:szCs w:val="15"/>
              </w:rPr>
              <w:t xml:space="preserve">H-PR-04</w:t>
            </w:r>
          </w:p>
        </w:tc>
        <w:tc>
          <w:tcPr>
            <w:tcMar>
              <w:top w:type="dxa" w:w="70"/>
              <w:left w:type="dxa" w:w="100"/>
              <w:bottom w:type="dxa" w:w="70"/>
              <w:right w:type="dxa" w:w="90"/>
            </w:tcMar>
            <w:vAlign w:val="center"/>
          </w:tcPr>
          <w:p>
            <w:r>
              <w:rPr>
                <w:b w:val="false"/>
                <w:bCs w:val="false"/>
                <w:sz w:val="15"/>
                <w:szCs w:val="15"/>
              </w:rPr>
              <w:t xml:space="preserve">Advance Directives &amp; Resuscitation Status Policy</w:t>
            </w:r>
          </w:p>
        </w:tc>
      </w:tr>
      <w:tr>
        <w:tc>
          <w:tcPr>
            <w:tcMar>
              <w:top w:type="dxa" w:w="70"/>
              <w:left w:type="dxa" w:w="100"/>
              <w:bottom w:type="dxa" w:w="70"/>
              <w:right w:type="dxa" w:w="90"/>
            </w:tcMar>
            <w:vAlign w:val="center"/>
          </w:tcPr>
          <w:p>
            <w:r>
              <w:rPr>
                <w:b/>
                <w:bCs/>
                <w:sz w:val="15"/>
                <w:szCs w:val="15"/>
              </w:rPr>
              <w:t xml:space="preserve">H-CONSENT-01</w:t>
            </w:r>
          </w:p>
        </w:tc>
        <w:tc>
          <w:tcPr>
            <w:tcMar>
              <w:top w:type="dxa" w:w="70"/>
              <w:left w:type="dxa" w:w="100"/>
              <w:bottom w:type="dxa" w:w="70"/>
              <w:right w:type="dxa" w:w="90"/>
            </w:tcMar>
            <w:vAlign w:val="center"/>
          </w:tcPr>
          <w:p>
            <w:r>
              <w:rPr>
                <w:b w:val="false"/>
                <w:bCs w:val="false"/>
                <w:sz w:val="15"/>
                <w:szCs w:val="15"/>
              </w:rPr>
              <w:t xml:space="preserve">General Informed Consent</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This document intentionally does not cite a single jurisdiction's surrogate hierarchy as universal; it directs [ORGANIZATION NAME] to confirm the applicable hierarchy with local legal counsel for each jurisdiction in which it operates, consistent with H-GOV-11's Regulatory Crosswalk approach to jurisdiction-specific legal variation.</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H-SURROGATE-01-EN · Surrogate Decision-Maker Hierarchy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2026-09-15T03:46:37.499Z</dcterms:created>
  <dcterms:modified xsi:type="dcterms:W3CDTF">2026-09-15T03:46:37.510Z</dcterms:modified>
</cp:coreProperties>
</file>

<file path=docProps/custom.xml><?xml version="1.0" encoding="utf-8"?>
<Properties xmlns="http://schemas.openxmlformats.org/officeDocument/2006/custom-properties" xmlns:vt="http://schemas.openxmlformats.org/officeDocument/2006/docPropsVTypes"/>
</file>